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2020 15 vom 1. Dezember 2020</w:t>
      </w:r>
    </w:p>
    <w:p>
      <w:r>
        <w:t>GR Gerichte, 2020-12-01, DE</w:t>
      </w:r>
    </w:p>
    <w:p>
      <w:r>
        <w:rPr>
          <w:b/>
        </w:rPr>
        <w:t xml:space="preserve">Quelle: </w:t>
      </w:r>
      <w:r>
        <w:t>https://mcp.opencaselaw.ch/entscheid/gr_gerichte_S_2020_15</w:t>
      </w:r>
    </w:p>
    <w:p>
      <w:r>
        <w:t>FR: GR_GERICHTE S 2020 15 du 1 décembre 2020</w:t>
      </w:r>
    </w:p>
    <w:p>
      <w:r>
        <w:t>IT: GR_GERICHTE S 2020 15 del 1 dicembre 2020</w:t>
      </w:r>
    </w:p>
    <w:p>
      <w:pPr>
        <w:pStyle w:val="Heading2"/>
      </w:pPr>
      <w:r>
        <w:t>Regeste</w:t>
      </w:r>
    </w:p>
    <w:p>
      <w:r>
        <w:t>IV-Rente - PVG 2021 Nr. 2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Nach Art. 69 Abs. 1bis IVG ist das Beschwerdeverfahren, in Abweichung von Art. 61 lit. a ATSG, bei Streitigkeiten um die Bewilligung oder Verwei- gerung von Leistungen der Invalidenversicherung vor dem kantonalen Ver- sicherungsgericht kostenpflichtig (vgl. Art. 83 ATSG), wobei die Kosten nach dem Verfahrensaufwand und unabhängig vom Streitwert im Rahmen von Fr. 200.-- bis Fr. 1'000.-- festgelegt werden.</w:t>
      </w:r>
    </w:p>
    <w:p>
      <w:r>
        <w:rPr>
          <w:b/>
        </w:rPr>
        <w:t>E. 10.1</w:t>
      </w:r>
    </w:p>
    <w:p>
      <w:r>
        <w:t>Vorliegend legt das Gericht die Kosten für das Verfahren auf Fr. 700.-- fest. Diese gehen zu Lasten der unterliegenden Beschwerdegegnerin.</w:t>
      </w:r>
    </w:p>
    <w:p>
      <w:r>
        <w:rPr>
          <w:b/>
        </w:rPr>
        <w:t>E. 10.2</w:t>
      </w:r>
    </w:p>
    <w:p>
      <w:r>
        <w:t>Die obsiegende Beschwerdeführerin hat zudem Anspruch auf Ersatz der Parteikosten; diese werden vom Versicherungsgericht festgesetzt und ohne Rücksicht auf den Streitwert nach der Bedeutung der Streitsache und nach der Schwierigkeit des Prozesses bemessen (Art. 61 lit. g ATSG). Die konkrete Bemessung der Parteientschädigung für das kantonale Verfahren ist im Übrigen dem kantonalen Recht überlassen (Urteil des Bundesge- richts 9C_30/2014 vom 6. Mai 2014 E.2.2).</w:t>
      </w:r>
    </w:p>
    <w:p>
      <w:r>
        <w:rPr>
          <w:b/>
        </w:rPr>
        <w:t>E. 10.2.1</w:t>
      </w:r>
    </w:p>
    <w:p>
      <w:r>
        <w:t>Ausgangspunkt für die Kostenübernahme der Rechtsvertretung bilden die Honorarnoten der Rechtsvertreterin der Beschwerdeführerin, mit denen ein Honorar von insgesamt von Fr. 3'816.-- geltend gemacht wird. Mit Hono- rarnote vom 6. April 2020 (Stand vor Einholung des psychiatrischen Ge- richtsgutachtens) stellte die Rechtsvertreterin der Beschwerdeführerin ei- nen Aufwand von Fr. 2'396.10 in Rechnung (bestehend aus 13.5 Stunden à Fr. 160.-- [Fr. 2'160.--] zzgl. 3% Spesenpauschale [Fr. 64.80] und 7.7%</w:t>
      </w:r>
    </w:p>
    <w:p>
      <w:r>
        <w:t>- 46 - MWSt [Fr. 171.30]). Mit Schreiben vom 13. November 2020 wurde sie auf- gefordert, dem Gericht eine ergänzte Honorarnote einzureichen, worauf sie am 17. November 2020 (Stand nach Erstattung des psychiatrischen Ge- richtsgutachtens vom 24. September 2020) eine Honorarnote über Fr. 1'419.90 (bestehend aus 8 Stunden Zeitaufwand à Fr. 160.-- [Fr. 1'280.- -] zzgl. 3 % Spesenpauschale [Fr. 38.40] und 7.7 % MWSt [Fr. 101.50]) für die seit Mai 2020 getätigten Bemühungen ins Recht legte. Dem Gericht erscheint der ausgewiesene Aufwand und das sich (in Anwendung des Stundenansatzes von Fr. 160.-- für Hilfsorganisationen oder Rechtsschutz- versicherungen [vgl. dazu PVG 2010 Nr. 31 und Nr. 32; Urteil des Verwal- tungsgerichts S 16 138 vom 10. Oktober 2017 E.3c]) ergebende Gesamt- honorar von Fr. 3'816.-- angesichts der Bedeutung und der Schwierigkeit der Streitsache als angemessen. Die unterliegende Beschwerdegegnerin wird folglich verpflichtet, der Beschwerdeführerin eine Parteientschädigung in der genannten Höhe auszurichten.</w:t>
      </w:r>
    </w:p>
    <w:p>
      <w:r>
        <w:t>- 47 -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