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73 vom 23. Februar 2021</w:t>
      </w:r>
    </w:p>
    <w:p>
      <w:r>
        <w:t>GR Gerichte, 2021-02-23, IT</w:t>
      </w:r>
    </w:p>
    <w:p>
      <w:r>
        <w:rPr>
          <w:b/>
        </w:rPr>
        <w:t xml:space="preserve">Quelle: </w:t>
      </w:r>
      <w:r>
        <w:t>https://mcp.opencaselaw.ch/entscheid/gr_gerichte_S_2019_73</w:t>
      </w:r>
    </w:p>
    <w:p>
      <w:r>
        <w:t>FR: GR_GERICHTE S 2019 73 du 23 février 2021</w:t>
      </w:r>
    </w:p>
    <w:p>
      <w:r>
        <w:t>IT: GR_GERICHTE S 2019 73 del 23 febbraio 2021</w:t>
      </w:r>
    </w:p>
    <w:p>
      <w:pPr>
        <w:pStyle w:val="Heading2"/>
      </w:pPr>
      <w:r>
        <w:t>Regeste</w:t>
      </w:r>
    </w:p>
    <w:p>
      <w:r>
        <w:t>rendita AI | Invalidenversicherung</w:t>
      </w:r>
    </w:p>
    <w:p>
      <w:pPr>
        <w:pStyle w:val="Heading2"/>
      </w:pPr>
      <w:r>
        <w:t>Erwägungen</w:t>
      </w:r>
    </w:p>
    <w:p>
      <w:r>
        <w:rPr>
          <w:b/>
        </w:rPr>
        <w:t>E. 1</w:t>
      </w:r>
    </w:p>
    <w:p>
      <w:r>
        <w:t>I requisiti processuali non danno adito a osservazioni, per cui questo competente Tribunale entra nel merito del ricorso contro la decisione di rendita d'invalidità del 17 maggio 2019.</w:t>
      </w:r>
    </w:p>
    <w:p>
      <w:r>
        <w:rPr>
          <w:b/>
        </w:rPr>
        <w:t>E. 2</w:t>
      </w:r>
    </w:p>
    <w:p>
      <w:r>
        <w:t>Controverso è se la ricorrente ha diritto a una rendita d'invalidità intera. 3.1. Giusta l'art. 28 cpv. 2 della legge federale sull'assicurazione per l'invalidità (LAI; RS 831.20) l'assicurata ha diritto a una rendita intera se è invalida almeno al 70 %, a tre quarti di rendita se è invalida almeno al 60 %, a una mezza rendita se è invalida almeno al 50 % o a un quarto di rendita se è invalida almeno al 40 %.</w:t>
      </w:r>
    </w:p>
    <w:p>
      <w:r>
        <w:t>- 14 - 3.2. Per valutare il grado d’invalidità, il reddito che l’assicurata invalida potrebbe conseguire esercitando l’attività ragionevolmente esigibile da lei dopo la cura medica e l’eventuale esecuzione di provvedimenti d’integrazione, tenuto conto di una situazione equilibrata del mercato del lavoro, è confrontato con il reddito che ella avrebbe potuto ottenere se non fosse diventata invalida (art. 16 della Legge federale sulla parte generale del diritto delle assicurazioni sociali [LPGA; RS 830.1] in combinato disposto con l'art. 28a cpv. 1 LAI). 3.3. Per stabilire il grado d'impedimento, l'amministrazione e il giudice si fondano su documenti allestiti dal medico o eventualmente da altri speciali-sti, il cui compito consiste nel porre un giudizio sullo stato di salute, nell'indicare in quale misura e in quali attività l'assicurata sia incapace al lavoro come pure nel fornire un importante elemento di giudizio per determinare quali lavori siano ancora ragionevolmente esigibili (DTF 125 V 256 consid. 4, 115 V 133 consid. 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 un rapporto medico abbia valore di prova non è tanto la sua origine o la sua denominazione, ad esempio, quale perizia o rapporto (DTF 125 V 351 consid. 3a, 122 V 157 consid. 1c). La giurisprudenza ha tuttavia sviluppato alcune direttive in relazione a determinate forme di attestazioni mediche (DTF 125 V 351 consid. 3b, 118 V 286 consid. 1b). In tal senso, se non vi sono indizi concreti che depongano contro la loro attendibilità, va riconosciuto pieno valore probatorio alle perizie di medici specialistici esterni che rilasciano i propri referti in base a indagini e osservazioni accurate e dopo aver preso visione di tutta la documentazione medica e</w:t>
      </w:r>
    </w:p>
    <w:p>
      <w:r>
        <w:t>- 15 - che nella descrizione dei loro reperti giungono a risultati concludenti (DTF 137 V 210 consid. 1.3.4, 125 V 351 consid. 3b/bb). Riguardo ai medici curanti si deve tenere conto, in seguito al rapporto di fiducia istauratosi contrattualmente, che non può essere escluso che nel dubbio possano esprimersi a favore del proprio paziente (DTF 135 V 465 consid. 4.5, 125 V 351 consid. 3b/cc, 124 I 170 consid. 4). Considerata la divergenza tra il mandato di cura e il mandato peritale commissionato d'ufficio, il mero fatto che i medici curanti giungano a opinioni differenti da quelle dei periti, non basta per mettere in discussione una perizia disposta dall'amministrazione o dal giudice e non implica l'ordine di nuovi accertamenti. Sono fatti salvi i casi in cui si impone una nuova valutazione, dacché i rapporti dei medici curanti indicano degli aspetti oggettivi – quindi non soltanto riconducibili a un'interpretazione soggettiva – che non sono stati identificati o sono stati ignorati nella perizia e che sono sufficientemente pertinenti per mettere in discussione le conclusioni del perito (cfr. sentenze del Tribunale federale 8C_317/2019 del 30 settembre 2019 consid. 2.3, 8C_379/2019 del 21 agosto 2019 consid. 2.2, 8C_229/2019 del 5 luglio 2019 consid. 5.1, 8C_835/2018 del 23 aprile 2018 consid. 3, 9C_142/2008 del 16 ottobre 2008 consid. 2.2). 3.4. Di regola, è determinate la fattispecie fino alla decisione impugnata. I rapporti medici prodotti soltanto in fase di ricorso della clinica L._____ del 14 e 28 maggio 2019 nonché della Dr.ssa med. H._____ dell'11 giugno 2019, se del caso potranno essere eccezionalmente considerati (cfr. DTF 132 V 215 consid. 3.1.1, 130 V 138 consid. 2.1), per quanto essi permettano di trarre conclusioni sulla fattispecie conclusasi con la decisione impugnata e non espongano nuovi fatti che eventualmente potrebbero essere oggetto di una nuova domanda d'invalidità. 4.1. Nel caso di specie la perizia del SAM del 23 marzo 2017 (doc. 130 convenuto), su cui il convenuto si è basato per la sua decisione, è stata allestita lege artis in conoscenza dell'intero incarto e, dal punto di vista</w:t>
      </w:r>
    </w:p>
    <w:p>
      <w:r>
        <w:t>- 16 - psichiatrico (cfr. rapporti dello psicologo lic. e dipl. Ferrari e dello psichiatra Dr. med. K._____ [doc. 130/64 segg. e 130/69 segg. convenuto]), rispetta la prassi in DTF 141 V 281 – in linea generale da applicare a qualsiasi malattia psichica (DTF 143 V 418, 143 V 409 consid. 4.5.3). Dal punto di vista fisico, va notato che la perizia non contrasta con la valutazione del medico curante Dr. med. F._____, il quale ha piuttosto affermato che le diagnosi del perito Dr. med. J._____ coinciderebbero con le sue e che la valutazione della capacità lavorativa del Dr. med. J._____ sarebbe coerente con le diagnosi e sostenibile (cfr. rapporto del 29 novembre 2017 [doc. 2 ricorrente]). Per quanto la ricorrente censuri che il convenuto non abbia tenuto conto degli ultimi sviluppi fisici, si osserva che nella lettera del 2 maggio 2019 (doc. 2 ricorrente) il Dr. med. F._____ ha soltanto confermato la sua diagnosi del 29 novembre 2017 e il fatto che lo stato della paziente sia diventato cronico. Il Dr. med. F._____ aveva diagnosticato l'ernia discale già con rapporto del 27 settembre 2016, a seguito di cui il convenuto ha incaricato il SAM per una rivalutazione. Laddove il Dr. med. F._____ nel rapporto del 29 novembre 2017 menziona che "per quanto riguarda i dolori lombari in relazione a una discopatia L5/S1 con un'ernia discale, una nuova esacerbazione può giustificare una maggior incapacità lavorativa transitoria (un'importante lombalgia su ernia discale può giustificare un'incapacità lavorativa totale nel lavoro di cameriera ai piani e un'incapacità lavorativa del 50 % in un'attività adatta)", va detto che questa affermazione del Dr. med. F._____ è soltanto ipotetica. Fino al momento della delibera della decisione impugnata datata 17 maggio 2019, il convenuto non era apparentemente stato messo al corrente del rapporto di dimissione dalla clinica L._____ datato 14 maggio 2019 (doc. 3 ricorrente) rilasciato in seguito alla cura stazionaria tra il 23 aprile e il 15 maggio 2019 a causa dell'esacerbazione occorsa a fine aprile 2019. Trattandosi di una documentazione medica nuova, notificata dopo la decisione, la valutazione della clinica L._____ sulla capacità lavorativa (nessuna capacità lavorativa nell'ultima attività svolta e 50 % di inabilità in</w:t>
      </w:r>
    </w:p>
    <w:p>
      <w:r>
        <w:t>- 17 - attività adatta a causa dei problemi fisici) è irrilevante nel caso di specie e può semmai costituire oggetto di una nuova domanda di prestazioni. E pur volendo considerare in questa sede il rapporto di dimissione della clinica L._____ del 14 maggio 2019, in quanto si riferisce all'esacerbazione avvenuta a fine aprile 2019, quindi a un periodo precedente l'emanazione della sentenza, va detto che la sintomatologia lombo-vertebrale, diagnosticata nel rapporto della clinica L._____ del 14 maggio 2019, era già stata accertata nella perizia del SAM del 23 marzo 2017 (cfr. doc. 130/36 convenuto). Se poi, da un lato, l'esacerbazione subentrata ad aprile 2019, come quella di agosto 2016, può aver comportato una limitazione completa della capacità lavorativa, dall'altro va rilevato che, stando a detto rapporto di dimissione, l'esacerbazione è stata temporanea e soprattutto da ricondurre a una problematica muscolare. Da quanto riferito non solo già dal perito Dr. med. J._____, ma pure dalla clinica L._____, un allenamento muscolare sarebbe peraltro cruciale onde prevenire ulteriori esacerbazioni. La capacità lavorativa del 50 % attestata dalla clinica L._____ a partire dal 17 giugno 2019 è quindi da reputare come una semplice valutazione diversa da quella dei periti del SAM in merito alla stessa problematica (sindrome lombovertebrale/spondilogena cronica). Pertanto il rapporto di dimissione della clinica L._____ del 14 maggio 2019 e quello del Dr. med. F._____ (sulla mera possibilità di un'incapacità lavorativa del 50 % in attività adatta) da soli, non sono comunque in grado di scuotere la validità delle conclusioni nella perizia del SAM del 23 marzo 2017. 4.2. Dal punto di vista psichiatrico, va ugualmente detto che il convenuto ha tenuto conto di tutti gli sviluppi subentrati fino al momento della decisione impugnata. L'opinione perorata dalla Dr.ssa med. H._____ circa una capacità lavorativa residua dal punto di vista psichiatrico del 50 % (in qualsiasi attività), rappresenta soltanto una diversa valutazione della percentuale lavorativa rispetto a quella data nella perizia del SAM (80 %</w:t>
      </w:r>
    </w:p>
    <w:p>
      <w:r>
        <w:t>- 18 - di abilità lavorativa [cfr. doc. 130/73 convenuto). In considerazione del rapporto di fiducia tra la psichiatra curante e la ricorrente, per l'accertamento della capacità lavorativa residua il convenuto ha dunque potuto poggiare sulla perizia indipendente del SAM. Inoltre, il rapporto psichiatrico di dimissione della clinica L._____ del 28 maggio 2019 non è principalmente pertinente perché rilasciato dopo la decisione impugnata. Tuttavia, va rilevato che in detto rapporto medico il Dr. med. M._____ ha affermato che poco prima dell'ingresso in clinica la ricorrente avrebbe sofferto di un disturbo depressivo dell'adattamento, il quale però sarebbe già scomparso all'inizio del trattamento in clinica. 4.3. La perizia del SAM ha pertanto pieno valore probatorio e il convenuto si è giustamente basato su di essa. Una violazione dell'obbligo di accertare i fatti da parte del convenuto non è intravedibile.</w:t>
      </w:r>
    </w:p>
    <w:p>
      <w:r>
        <w:rPr>
          <w:b/>
        </w:rPr>
        <w:t>E. 5</w:t>
      </w:r>
    </w:p>
    <w:p>
      <w:r>
        <w:t>I periti del SAM hanno concluso che a partire dal 1. gennaio 2017 la ricorrente sarebbe abile al lavoro nella misura del 50 % nella professione abituale di cameriera per piani e per tutte le attività lavorative pesanti e medio-pesanti. L'incapacità lavorativa sarebbe da intendersi come parziale diminuzione del tempo di lavoro e del rendimento. I periti hanno considerato la possibilità di lavorare in tali attività per il 70 % del normale tempo di lavoro con una riduzione del rendimento nell'ordine del 30 %. In una professione adatta alle sue condizioni di salute, invece, secondi i periti la ricorrente sarebbe abile all'80 %, con un'incapacità lavorativa del 20 % da intendersi come diminuzione del rendimento per il normale tempo di lavoro con necessità di effettuare delle pause. Essi hanno considerato adatta alle condizioni di salute un'attività lavorativa leggera ed ergonomica, che non comporti movimenti ripetitivi di flessione/estensione e rotazione del tronco e non imponga il mantenimento prolungato delle posizioni statiche. Stando ai periti, il peso massimo dei carichi manipolabili sarebbe di 10 kg. Devono inoltre essere evitate le sollecitazioni intense delle articolazioni con con-seguente impossibilità di maneggiare</w:t>
      </w:r>
    </w:p>
    <w:p>
      <w:r>
        <w:t>- 19 - ripetutamente utensili con le mani. La ricorrente non può flettere ripetutamente le ginocchia né camminare su terreni sconnessi; dovrebbe evitare i ripetuti cambiamenti di temperatura e il contatto con l'acqua fredda. I periti hanno sottolineato che le percentuali di incapacità lavorativa per la patologia reumatologica e per quella psichiatrica non andrebbero sommate, bensì integrate, per compensazione vicendevole. Il profilo descritto dai periti per un'attività ritenuta adeguata allo stato di salute della ricorrente appare molto limitato, ma non irrealistico. A tal riguardo, va notato che secondo la giurisprudenza occorre partire dal presupposto che il mercato lavorativo teorico offra una moltitudine variegata di posti di lavoro (cfr. sentenze del Tribunale federale 9C_253/2017 del 6 luglio 2017 consid. 2.2.1, 8C_670/2015 del 12 febbraio 2016 consid. 4.2 seg.; DTF 110 V 273 consid. 4b). Va dunque ritenuto che la ricorrente possa impiegare sul mercato la sua capacità lavorativa residua e ottenere un rispettivo reddito.</w:t>
      </w:r>
    </w:p>
    <w:p>
      <w:r>
        <w:rPr>
          <w:b/>
        </w:rPr>
        <w:t>E. 6</w:t>
      </w:r>
    </w:p>
    <w:p>
      <w:r>
        <w:t>Per inciso va aggiunto che, come già notato dal convenuto nella decisione impugnata, dalle indennità versate dall'assicuratore d'indennità giornaliera per malattia il ricorrente non può dedurre nulla in suo favore per il diritto a prestazioni d'invalidità, siccome detto assicuratore ha compensato alla ricorrente la perdita di guadagno subita nell'attività originaria, mentre per una rendita d'invalidità, in questo caso, è determinante l'incapacità lavorativa in attività adatta.</w:t>
      </w:r>
    </w:p>
    <w:p>
      <w:r>
        <w:rPr>
          <w:b/>
        </w:rPr>
        <w:t>E. 7</w:t>
      </w:r>
    </w:p>
    <w:p>
      <w:r>
        <w:t>Benché una parallelizzazione dei redditi non venga fatta valere dalla ricorrente, riguardo al reddito da valida pari a CHF 48'470.25 (per l'anno 2018) va comunque notato che, sebbene detto reddito sia relativamente modesto, esso non giustifica una parallelizzazione dei redditi, siccome non è inferiore al salario minimo per collaboratori senza apprendistato (con tredicesima mensilità) giusta l'art. 10 cpv. 1 cifra 1 lett. a CCNL dell’industria alberghiera e della ristorazione con modifiche in vigore fino al 2018.</w:t>
      </w:r>
    </w:p>
    <w:p>
      <w:r>
        <w:t>- 20 -</w:t>
      </w:r>
    </w:p>
    <w:p>
      <w:r>
        <w:rPr>
          <w:b/>
        </w:rPr>
        <w:t>E. 8</w:t>
      </w:r>
    </w:p>
    <w:p>
      <w:r>
        <w:t>Per la determinazione del reddito da invalida il convenuto ha applicato a ragione le tabelle RSS. La soluzione di valutare il grado d'invalidità in base all'attività abituale, come evidenziato nella sentenza di questo Tribunale S</w:t>
      </w:r>
    </w:p>
    <w:p>
      <w:r>
        <w:rPr>
          <w:b/>
        </w:rPr>
        <w:t>E. 13</w:t>
      </w:r>
    </w:p>
    <w:p>
      <w:r>
        <w:t>127 del 18 febbraio 2014 consid. 4, non è (più) pertinente, siccome il rapporto di lavoro è stato sciolto e tutti i medici interpellati sono dell'unanime parere che l'attività di cameriera ai piani è inadeguata per la ricorrente. Va pertanto ritenuto che la ricorrente non possa sfruttare al meglio le risorse lavorative residue in questa attività, per cui è dato fondarsi su di un reddito secondo le tabelle (cfr. DTF 139 V 592 consid. 2.3). 9. Resta da esaminare se occorre applicare una deduzione sul reddito da invalida. La formazione professionale e le conoscenze linguistiche non possono condurre a una deduzione, siccome il convenuto si è basato sul livello di competenze 1, comprendente attività che non presuppongono specifiche qualifiche (cfr. sentenza del Tribunale federale 8C_492/2015 del 17 novembre 2015 consid. 3.2.3). A causa dei disturbi, inoltre, non può essere concessa una deduzione, siccome questi sono già stati presi in debita considerazione nella riduzione della percentuale lavorativa. Tra parentesi, si osserva che, pur concedendo una deduzione del 25 %, questa non porterebbe a un grado d'invalidità rilevante per il periodo dal 1. gennaio 2017 in avanti con capacità lavorativa dell'80 %. 10. Infine, si accerta che ai calcoli del grado d'invalidità effettuati dal convenuto nella decisione impugnata in base alle percentuali di capacità lavorativa giusta la perizia del SAM non c'è nulla da eccepire. Va invece corretto il termine di assegnazione della rendita intera. Secondo giurisprudenza, quando l'amministrazione assegna una rendita retroattiva (per la prima volta) graduata e/o limitata nel tempo, devono essere applicate per analogia le regole sulla revisione di decisioni amministrative giusta l'art. 17 cpv. 1 LPGA e l'art. 88a dell'Ordinanza sull’assicurazione per l’invalidità (OAI; RS 831.201) in merito al cambiamento del diritto a</w:t>
      </w:r>
    </w:p>
    <w:p>
      <w:r>
        <w:t>- 21 - prestazioni in seguito a miglioramento o peggioramento della capacità al guadagno (cfr. DTF 133 V 263 consid. 6.1, 131 V 164 consid. 2.2, 125 V 413 consid. 2d; sentenza del Tribunale federale 8C_542/2019 del 4 dicembre 2019 consid. 3.2). Di conseguenza, conformemente al termine di tre mesi di cui all'art. 88a cpv. 1 OAI, considerato che è stato ritenuto un miglioramento della capacità al guadagno a partire da gennaio 2017, la rendita intera assegnata fino al 31 dicembre 2016 deve essere prolungata fino al 31 marzo 2017. In tal senso, il ricorso va parzialmente accolto. 11.1. L'esito della controversia giustifica l'accollamento delle spese processuali fissate a CHF 700.00 (cfr. art. 61 lett. fbis LPGA e art. 69 cpv. 1bis LAI) per due terzi alla ricorrente e per un terzo al convenuto. 11.2. Giusta l'art. 61 lett. g LPGA, la ricorrente che vince la causa ha diritto al rimborso delle ripetibili secondo quanto stabilito dal tribunale delle assicurazioni. L’importo è determinato senza tener conto del valore litigioso, ma secondo l’importanza della lite e la complessità del procedimento. La nota d'onorario di CHF 2'466.60 inoltrata dal patrocinatore della ricorrente si basa su una tariffa oraria di CHF 275.00, che secondo prassi di questo Tribunale in mancanza di un accordo sull'onorario va ridotta a CHF 240.00. Inoltre, le spese superano l'importo forfettario del 3 % dell'onorario riconosciuto per prassi per le spese non dimostrate nel dettaglio. Di conseguenza, a prescindere da questa nota d'onorario che andrebbe corretta, in applicazione dell'art. 61 lett. g LPGA il Tribunale fissa le ripetibili in favore della ricorrente a sua discrezione, tenendo conto di una vittoria parziale in misura di 1/3 e di ripetibili assegnate in casi di complessità analoghi, a CHF 800.00. III. Per questi motivi il Tribunale giudica: 1. Il ricorso è parzialmente accolto. L'Ufficio AI deve conferire una rendita intera a A._____ per il periodo dal 1. agosto 2016 al 31 marzo 2017.</w:t>
      </w:r>
    </w:p>
    <w:p>
      <w:r>
        <w:t>- 22 - 2. Le spese processuali di CHF 700.00 sono poste per 2/3 a carico di A._____ e per 1/3 a carico dell'Ufficio AI. 3. L'Ufficio AI deve rifondere a A._____ CHF 800.00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