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68 vom 23. Dezember 2019</w:t>
      </w:r>
    </w:p>
    <w:p>
      <w:r>
        <w:t>GR Gerichte, 2019-12-23, DE</w:t>
      </w:r>
    </w:p>
    <w:p>
      <w:r>
        <w:rPr>
          <w:b/>
        </w:rPr>
        <w:t xml:space="preserve">Quelle: </w:t>
      </w:r>
      <w:r>
        <w:t>https://mcp.opencaselaw.ch/entscheid/gr_gerichte_S_2019_68</w:t>
      </w:r>
    </w:p>
    <w:p>
      <w:r>
        <w:t>FR: GR_GERICHTE S 2019 68 du 23 décembre 2019</w:t>
      </w:r>
    </w:p>
    <w:p>
      <w:r>
        <w:t>IT: GR_GERICHTE S 2019 68 del 23 dicembre 2019</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 Vorliegend ist unbestritten und es ergibt sich auch ohne Weiteres aus den Akten, dass die Beschwerdeführerin ihren Wohnsitz in O.2._____ hat (vgl. Replik der Beschwerdeführerin vom 26. Juni 2019 S. 2 und 6 sowie be- schwerdegegnerische Akten [Bg-act.] 12). Folglich kann davon ausgegan- gen werden, dass die Beschwerdeführerin grundsätzlich der Versiche- rungspflicht in der Schweiz untersteht. Sodann kann der Versicherungspo-</w:t>
      </w:r>
    </w:p>
    <w:p>
      <w:r>
        <w:t>- 8 - lice vom 9. Oktober 2017 entnommen werden, dass für die Beschwerde- führerin für das Jahr 2018 eine Monatsprämie von Fr. 386.60 geschuldet war (vgl. Bg-act. 13). Demnach hatte sie für die Monate August 2018 bis September 2018 eine Prämie von je Fr. 386.60 zu leisten. Der Bestand der von der Beschwerdegegnerin im angefochtenen Einspracheentscheid vom 30. April 2019 geltend gemachten Forderung aufgrund der Prämien- ausstände der Monate August 2018 bis September 2018 ist damit grundsätzlich nachgewiesen (vgl. Bg-act. 7).</w:t>
      </w:r>
    </w:p>
    <w:p>
      <w:r>
        <w:rPr>
          <w:b/>
        </w:rPr>
        <w:t>E. 3.1.1</w:t>
      </w:r>
    </w:p>
    <w:p>
      <w:r>
        <w:t>Die Beschwerdeführerin macht nun allerdings in ihrer Beschwerde geltend, dass das Versicherungsverhältnis durch wirksame und seitens der Be- schwerdegegnerin bestätigte Kündigung vom 30. August 2016 per 31. De- zember 2016 beendet worden sei. Einerseits hätten per Ende 2016 keine fälligen Prämienrückstände bestanden, was die Beschwerdegegnerin selbst einräume, anderseits sei die Nachversicherungsbestätigung der C._____, beigebracht worden. Aufgrund der wirksamen Kündigung und Be- endigung des Versicherungsverhältnisses per 31. Dezember 2016 seien die einseitigen und rückwirkenden Veränderungen durch die Beschwerde- gegnerin weder vertragsgemäss noch gesetzlich zulässig gewesen. Dem- nach hätten über den 31. Dezember 2016 hinaus keine Prämien mehr ge- fordert werden dürfen. Entsprechend könne für die in Betreibung gesetzten Beträge keine definitive Rechtsöffnung erteilt werden und der angefoch- tene Einspracheentscheid sei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w:t>
      </w:r>
    </w:p>
    <w:p>
      <w:r>
        <w:t>- 9 -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 möglichen Zeitpunkt kündigte (vgl. Bg-act. 8). Die Beschwerdegegnerin bestätigte daraufhin sowohl am 5. September 2016 als auch am 10. Sep- tember 2016, das Kündigungsschreiben erhalten zu haben sowie die Gül- tigkeit der Kündigung per 31. Dezember 2016, wenn keine Zahlungs- ausstände und eine Weiterversicherungsbestätigung des neuen Kranken- versicherers vorliegen würden (vgl. Bg-act. 9 und 10). In der Folge reichte die Beschwerdeführerin der Beschwerdegegnerin mittels Telefax vom 2. Januar 2017 die Nachversicherungsbestätigung der C._____, ab 1. Januar 2017 ein (vgl. beschwerdeführerische Akten [Bf-act.] 3). Wie bereits in Er- wägung 3.1 ausgeführt, ist die Beschwerdeführerin grundsätzlich der obli- gatorischen Krankenversicherung in der Schweiz unterstellt. Bei der C._____ handelt es sich jedoch um eine ausländische private Krankenver-</w:t>
      </w:r>
    </w:p>
    <w:p>
      <w:r>
        <w:t>- 10 - sicherung und somit nicht um einen in Art. 1 Abs. 1 lit. a und b KVAG ge- nannten Versicherer. Eine Weiterversicherungsbestätigung eines Versi- cherers, der nach dem KVAG eine Bewilligung zur Durchführung der sozi- alen Krankenversicherung hat, lässt sich im Übrigen den Akten nicht ent- nehmen, weshalb die Beschwerdegegnerin die Kündigung der Beschwer- deführerin per Ende Dezember 2016 zu Recht nicht akzeptierte. Die Kün- digung des Versicherungsvertrags per 31. Dezember 2016 ist demnach nicht wirksam geworden, weswegen das Versicherungsverhältnis zwischen der Beschwerdeführerin und der Beschwerdegegnerin weiter bestand. Vor dem Hintergrund des Gesagten kann die Frage, ob per Ende 2016 auch noch Zahlungsausstände bestanden, offen bleiben.</w:t>
      </w:r>
    </w:p>
    <w:p>
      <w:r>
        <w:rPr>
          <w:b/>
        </w:rPr>
        <w:t>E. 3.1.2</w:t>
      </w:r>
    </w:p>
    <w:p>
      <w:r>
        <w:t>Des Weiteren macht die Beschwerdeführerin in ihrer Replik geltend, sie habe den Nachweis erbracht, dass sie seit dem 1. Januar 2017 eine ge- setzliche Krankenversicherung bei der D._____ unterhalte. Zudem sei un- bestritten, dass sie deutsche Staatsbürgerin mit Wohnsitz in der Schweiz sei, weshalb ein grenzüberschreitender Sachverhalt vorliege. Einschlägig seien vorliegend die Vorschriften von Art. 11 und 13 der Verordnung (EG) Nr. 883/2004 des Europäischen Parlaments und des Rates vom 29. April 2004 zur Koordinierung der Systeme der sozialen Sicherheit (SR 0.831.109.268.1; nachfolgend: VO 883/2004), die auch für die Schweiz Geltung hätten. Die Art. 11 bis 16 VO 883/2004 würden allgemeine Kollisi- onsregeln zur Bestimmung der anzuwendenden Rechtsvorschriften enthal- ten, welche für die Mitgliedstaaten zwingend seien. Wenn eine Person nach Art. 13 VO 883/2004 gewöhnlich in zwei oder mehr Mitgliedstaaten be- schäftigt sei, so sei zunächst festzustellen, ob sie einen wesentlichen Teil ihrer Tätigkeit (&gt; 25 %) im Wohnmitgliedstaat ausübe. Falls dies nicht der Fall sei, würden nach Art. 13 Abs. 1 VO 883/2004 die Rechtsvorschriften des Mitgliedstaats gelten, in dem sich der Sitz oder Wohnsitz des Arbeitge- bers befinde, sofern die betroffene Person nur bei einem Unternehmen oder Arbeitgeber beschäftigt sei. Die Beschwerdeführerin sei nicht nur in</w:t>
      </w:r>
    </w:p>
    <w:p>
      <w:r>
        <w:t>- 11 - O.2._____ angemeldet, sondern habe gemäss der A1-Bescheinigung der D._____ vom 10. September 2018 auch einen Wohnsitz in Deutschland, wo sie zu mehr als 75 %, also zu einem wesentlichen Teil, im Büro von Rechtsanwalt E._____ und für die Firma F._____ mit Sitz in Deutschland arbeite. Dies könne Rechtsanwalt E._____ bezeugen. Dass die Beschwer- deführerin mehr als 75 % ihrer Arbeitstätigkeit für den deutschen Arbeitge- ber aufbringe, bestreite die Beschwerdegegnerin nicht. Die arbeitsvertrag- lichen Pflichten aus der Tätigkeit für ihre Arbeitgeber erfülle die Beschwer- deführerin vor Ort in den Büros in Deutschland an etwa 180 Tagen im Jahr, im Übrigen für den deutschen Arbeitgeber von der Schweiz aus an weiteren ca. 95 Tagen, auch in Form von "Home Office" in O.2._____, von dem aus sie ausschliesslich für den deutschen Arbeitgeber tätig sei. Weil im Wohn- staat Schweiz kein wesentlicher Teil der Beschäftigung (&lt; 25 % der Ar- beitszeit) ausgeübt werde, seien nach Art. 13 Abs. 1 lit. b VO 883/2004 die deutschen Rechtsvorschriften anzuwenden. Für die Ausstellung der A1- Bescheinigung sei deshalb der deutsche Versicherungsträger zuständig, der diese Bescheinigung rückwirkend zu jedem beliebigen Zeitpunkt auf die tatsächliche Dauer des Versicherungsverhältnisses veranlassen könne. Bei der gesetzlichen Versicherung der D._____ handle es sich um eine Fa- milienversicherung, die erst nach Abschluss der Studien- und Ausbildungs- zeit der Kinder der Beschwerdeführerin in eine Individualversicherung auf Antrag in Deutschland umgewandelt werden könne, was die besagte Kran- kenversicherung bestätigen könne. Die Beschwerdegegnerin verletze durch dessen Nichtanwendung Art. 13 Abs. 1 lit. b VO 883/2004. Gleich- zeitig liege in dieser Rechtsverletzung ein Verstoss gegen die Vertrags- und Partnerwahlfreiheit, weil sich die Beschwerdeführerin – entgegen dem Anwendungsmassstab von Art. 13 Abs. 1 lit. b VO 883/2004 – gemäss Art. 3 und 6 KVG weiterhin bei einer Schweizer Krankenkasse zu versichern habe.</w:t>
      </w:r>
    </w:p>
    <w:p>
      <w:r>
        <w:t>- 12 - 3.1.2.1.Die Sozialversicherungssysteme der verschiedenen Staaten sind unter- schiedlich organisiert und auf das jeweilige Staatsgebiet beschränkt. Beim Wechsel von einem Land zu einem anderen kann es zu doppelten Beitrags- belastungen oder Versicherungslücken sowie zum Verlust von Ansprüchen kommen. Um diese Probleme zu lösen, ist eine Koordinierung der nationa- len Sozialversicherungssysteme notwendig (vgl. NIEDERER/ MEYER, Grenzüberschreitende Erwerbstätigkeit aus sozialversicherungs- und steu- errechtlicher Sicht, in: Der Schweizer Treuhänder vom 10/2013, S. 712). Das am 1. Juni 2002 in Kraft getretene Abkommen zwischen der Schwei- zerischen Eidgenossenschaft einerseits und der Europäischen Gemein- schaft und ihren Mitgliedstaaten andererseits über die Freizügigkeit vom 21. Juni 1999 (FZA; SR 0.142.112.681) sieht die Koordination der sozialen Sicherheit nach dem Muster der in der Europäischen Gemeinschaft mass- gebenden Regelungen vor, damit der freie Personenverkehr nicht durch einschränkende sozialversicherungsrechtliche Regelungen behindert wird. Die Schweiz wird dadurch in die Koordination der sozialen Sicherheit der Europäischen Gemeinschaft integriert. Die wichtigsten materiellen Grund- lagen der Europäischen Gemeinschaft sind die VO 883/2004 und die da- zugehörige Durchführungsverordnung (EG) Nr. 987/2009 (SR 0.831.109.268.11; nachfolgend: DVO 987/2009). Diese Verordnungen sind durch den Beschluss Nr. 1/2012 des Gemischten Ausschusses vom 31. März 2012 zur Ersetzung des Anhangs II FZA per 1. April 2012 in Kraft getreten (vgl. EUGSTER, Krankenversicherung, Rz. 68 mit weiteren Hinwei- sen). 3.1.2.2.Das Koordinationsrecht nach der VO 883/2004 sieht in Art. 11 Abs. 1 den Grundsatz vor, dass ein Erwerbstätiger lediglich einem Sozialversiche- rungssystem unterstellt wird. Eine Versicherungspflicht in zwei oder mehr Staaten ist nicht vorgesehen. Aufgrund dieses Ausschliesslichkeitsprinzips sind keine Doppelunterstellungen oder andere Sondervorschriften mehr möglich. Versichert sind insbesondere die Risiken Krankheit, Mutterschaft,</w:t>
      </w:r>
    </w:p>
    <w:p>
      <w:r>
        <w:t>- 13 - Invalidität, Alter, Hinterlassenschaft, Berufskrankheiten sowie auch Arbeits- losigkeit (Art. 3 Abs. 1 VO 883/2004). Ein weiterer wichtiger Grundsatz zur Vermeidung von Doppelunterstellungen ist das Erwerbsortprinzip. Ein Er- werbstätiger, der nur in einem Staat tätig ist, ist in dem Vertragsstaat versi- chert, in dem er seiner Erwerbstätigkeit nachgeht (Art. 11 Abs. 1 i.V.m. Art.</w:t>
      </w:r>
    </w:p>
    <w:p>
      <w:r>
        <w:rPr>
          <w:b/>
        </w:rPr>
        <w:t>E. 3.1.3</w:t>
      </w:r>
    </w:p>
    <w:p>
      <w:r>
        <w:t>Als Zwischenfazit kann festgehalten werden, dass der Bestand der von der Beschwerdegegnerin im angefochtenen Einspracheentscheid vom 30. April 2019 geltend gemachten Forderung aufgrund der Prämien- ausstände der Monate August 2018 bis September 2018 von insgesamt Fr. 773.20 nachgewiesen ist und sich die diesbezüglichen Rügen der Be- schwerdeführerin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 Vorliegend bezahlte die Beschwerdeführerin die geschuldeten Prämien der Monate August 2018 bis September 2018 in der Höhe von total Fr. 773.20</w:t>
      </w:r>
    </w:p>
    <w:p>
      <w:r>
        <w:t>- 16 - nicht. Die besagten Prämien wurden der Beschwerdeführerin ordnungs- gemäss in Rechnung gestellt (vgl. Bg-act. 1 und 2). Auch hielt die Be- schwerdegegnerin die weiteren Vorgaben für den Ablauf des Mahnverfah- rens ein. Die Prämienrechnungen der Beschwerdeführerin wurden nach Ablauf der Zahlungsfristen am 18. August 2018 sowie 15. September 2018 ein erstes und am 15. September 2018 sowie 13. Oktober 2018 ein zweites Mal gemahnt (vgl. Bg-act. 1 und 2). Somit wurde die Beschwerdeführerin mit den ersten Mahnungen an den jeweiligen Ausstand erinnert. Mit den zweiten Mahnungen wurde der Beschwerdeführerin innerhalb von drei Mo- naten ab Fälligkeit eine Nachfrist von 30 Tagen zur Bezahlung des jeweili- gen Ausstands eingeräumt. Gleichzeitig wurde mit dem Hinweis auf den auszugsweise wiedergegebenen Inhalt von Art. 64a Abs. 2 KVG auf die Folgen bei Nichterfüllung aufmerksam gemacht. Schliesslich leitete die Be- schwerdegegnerin gegen die Beschwerdeführerin beim Betreibungsamt der Region O.1._____ die Betreibung ein (vgl. Bg-act. 3 und 4). Angesichts der schlüssigen Aktenlage ist somit nicht zu beanstanden, dass die Beschwerdegegnerin den Betrag von Fr. 773.20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w:t>
      </w:r>
    </w:p>
    <w:p>
      <w:r>
        <w:t>- 17 -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Im konkreten Fall wurde mit Verfügung der Beschwerdegegnerin vom 26. März 2019 der von der Beschwerdeführerin gegen den Zahlungsbefehl Nr. 2190319 des Betreibungsamts der Region O.1._____ erhobene Rechtsvorschlag im Umfang von Fr. 927.10 beseitigt und die Beschwerde- führerin zur Zahlung von ausstehenden Prämien in der Höhe von insge- samt Fr. 773.20 (Prämien der Monate August 2018 bis September 2018) zzgl. Verzugszins von Fr. 23.90 sowie zu Mahnspesen von Fr. 130.-- und Betreibungskosten von Fr. 74.10 verpflichtet (vgl. Bg-act. 5). Das Vorgehen der Beschwerdegegnerin entspricht den vorhin erläuterten Vorgaben und ist somit nicht zu beanstanden.</w:t>
      </w:r>
    </w:p>
    <w:p>
      <w:r>
        <w:t>- 18 -</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angefochtenen Einspracheent- scheid vom 30. April 2019 einen Verzugszins von 5 % seit 31. Juli 2018 auf Fr. 386.60 (Augustprämie 2018) und seit 31. August 2018 auf Fr. 386.60 (Septemberprämie 2018) geltend gemacht (vgl. Bg-act. 7). Gemäss den Prämienabrechnungen vom 9. Juni 2018 sowie 7. Juli 2018 ist die Fälligkeit der Prämien August 2018 bis September 2018 auf den 31. Juli 2018 sowie den 31. August 2018 festzusetzen (vgl. Bg-act. 1 und 2). Aus dem Gesag- ten folgt, dass der Zinssatz von 5 % gesetzeskonform ist und auch der Be- ginn der Verzinsung nicht zu beanstanden ist.</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w:t>
      </w:r>
    </w:p>
    <w:p>
      <w:r>
        <w:t>- 19 - lenzprinzip verlangt, dass eine Gebühr nicht in einem offensichtlichen Miss- verhältnis zum fraglichen Ausstand stehen darf und sich in vernünftigen Grenzen halten muss (vgl. Urteil des Bundesgerichts 2C_717/2015 vom</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für die Ausstellung des Zahlungsbefehls Nr. 2190319 von Fr. 53.30 sowie die weiteren Betreibungskosten in der Höhe von Fr. 20.80 von ihr zu über- nehmen sind (vgl. Bg-act. 4). 4. Zusammengefasst erweist sich der angefochtene Einspracheentscheid vom 30. April 2019 somit als rechtens, was zur Bestätigung desselben und zur Abweisung der dagegen erhobenen Beschwerde vom 28. Mai 2019 führt. Die Beschwerdeführerin ist daher zu verpflichten, der Beschwerde- gegnerin den Betrag in der Höhe von Fr. 903.20 (Prämien der Monate Au- gust 2018 bis September 2018 von Fr. 773.20 und Mahnspesen von Fr. 130.--) zzgl. Zins zu 5 % auf Fr. 386.60 seit 31. Juli 2018 und seit 31. August 2018 zu bezahlen. In diesem Umfang ist der Beschwerdegegnerin in der Betreibung Nr. 2190319 des Betreibungsamts der Region O.1._____ die definitive Rechtsöffnung zu erteilen. Zudem sind der Beschwerdeführerin die Kosten für die Ausstellung des Zahlungsbefehls in der Höhe von Fr. 53.30 sowie die weiteren Betreibungskosten von Fr. 20.80 aufzuerlegen.</w:t>
      </w:r>
    </w:p>
    <w:p>
      <w:r>
        <w:rPr>
          <w:b/>
        </w:rPr>
        <w:t>E. 4</w:t>
      </w:r>
    </w:p>
    <w:p>
      <w:r>
        <w:t>Am 1. Februar 2017 teilte die B._____ A._____ mit, dass per 31. Dezember 2016 Beträge offen seien und sie daher weiterhin bei ihr grundversichert bleibe.</w:t>
      </w:r>
    </w:p>
    <w:p>
      <w:r>
        <w:rPr>
          <w:b/>
        </w:rPr>
        <w:t>E. 5</w:t>
      </w:r>
    </w:p>
    <w:p>
      <w:r>
        <w:t>Mit Prämienabrechnungen vom 9. Juni 2018 sowie 7. Juli 2018 stellte die B._____ A._____ die Prämien der Monate August 2018 bis September 2018 in der Höhe von je Fr. 386.60 in Rechnung. Nachdem sowohl die Mahnungen vom 18. August 2018 sowie 15. September 2018 als auch die Zahlungsaufforderungen vom 15. September 2018 sowie 13. Oktober 2018 erfolglos geblieben waren, leitete die B._____ beim Betreibungsamt der Region O.1._____ gegen A._____ die Betreibung für ausstehende Prämien der Monate August 2018 bis September 2018 in der Höhe von Fr. 773.20 nebst 5 % Zins seit 27. Januar 2019 sowie für Mahnspesen von 130.-- und Zins von Fr. 17.55 ein. Gegen den entsprechenden Zahlungsbefehl Nr.</w:t>
      </w:r>
    </w:p>
    <w:p>
      <w:r>
        <w:t>- 3 - 2190319 des Betreibungsamts der Region O.1._____ vom 28. Januar 2019 erhob A._____ am 18. Februar 2019 Rechtsvorschlag.</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w:t>
      </w:r>
    </w:p>
    <w:p>
      <w:r>
        <w:t>- 21 -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konkreten Fall ist von einer mutwilligen bzw. leichtsinnigen Prozessführung auszuge- hen. Denn im vorliegenden Verfahren stellten sich dieselben Fragen wie im Rahmen der Urteile des Verwaltungsgerichts des Kantons Graubünden S</w:t>
      </w:r>
    </w:p>
    <w:p>
      <w:r>
        <w:rPr>
          <w:b/>
        </w:rPr>
        <w:t>E. 5.2</w:t>
      </w:r>
    </w:p>
    <w:p>
      <w:r>
        <w:t>Gemäss Art. 61 lit. g ATSG hat die obsiegende Beschwerdegegnerin kei- nen Anspruch auf eine Parteientschädigung. Eine Ausnahme gilt nach der Rechtsprechung, wenn – wie hier – von der Kostenlosigkeit des kantonalen Gerichtsverfahrens wegen mutwilligem bzw. leichtsinnigem Verhalten ab- gewichen werden kann. In einem solchen Fall kann ̶ bei erheblichem Auf- wand ̶ der Versicherungsträger bei Obsiegen eine Parteientschädigung beanspruchen (vgl. KIESER, a.a.O., Art. 61 ATSG Rz. 199 mit weiteren Hin- weisen). Vorliegend ist die geschilderte strenge Voraussetzung für die aus- nahmsweise Zusprechung einer Parteientschädigung an die obsiegende Beschwerdegegnerin jedoch nicht erfüllt, da ein erheblicher Arbeitsauf- wand nicht substantiiert dargelegt wurde und die Vernehmlassung vom 7.</w:t>
      </w:r>
    </w:p>
    <w:p>
      <w:r>
        <w:t>- 22 - Juni 2019 sowie die Duplik vom 8. Juli 2019 nur knapp ausfielen (vgl. Ver- nehmlassung und Duplik der Beschwerdegegnerin vom 7. Juni 2019 und 8. Juli 2019).</w:t>
      </w:r>
    </w:p>
    <w:p>
      <w:r>
        <w:rPr>
          <w:b/>
        </w:rPr>
        <w:t>E. 6</w:t>
      </w:r>
    </w:p>
    <w:p>
      <w:r>
        <w:t>Mit Verfügung vom 26. März 2019 forderte die B._____ A._____ auf, den Betrag von Fr. 1'001.20 (Prämien der Monate August 2018 bis September 2018 von Fr. 773.20, Mahnspesen von Fr. 130.--, Verzugszins von Fr. 23.90, Betreibungskosten von Fr. 74.10) zu begleichen und hob den Rechtsvorschlag in der Betreibung Nr. 2190319 im Umfang von Fr. 927.10 auf. Die dagegen erhobene Einsprache vom 23. April 2019 wies die B._____ mit Einspracheentscheid vom 30. April 2019 ab und erteilte über den Betrag von Fr. 773.20 zzgl. Fr. 130.-- Mahnspesen und Verzugszins von 5 % seit 31. Juli 2018 auf Fr. 386.60 und seit 31. August 2018 auf Fr. 386.60 definitive Rechtsöffnung.</w:t>
      </w:r>
    </w:p>
    <w:p>
      <w:r>
        <w:rPr>
          <w:b/>
        </w:rPr>
        <w:t>E. 7</w:t>
      </w:r>
    </w:p>
    <w:p>
      <w:r>
        <w:t>Hiergegen erhob A._____ (nachfolgend: Beschwerdeführerin) mit Eingabe vom 28. Mai 2019 (Aufgabedatum deutsche Post) Beschwerde an das Ver- waltungsgericht des Kantons Graubünden mit folgenden Anträgen: "Es wird beantragt, 1. der Einspracheentscheid vom 30. April 2019 und damit auch die Verfügung vom 26. März 2019 (Zahlungsausstand) sei aufzuheben und die Beschwerde gutzuheissen; 2. festzustellen, dass die Betreibung Nr. 2190319 gegen die Beschwerdeführerin zurückzuziehen und zu löschen sind; 3. der Beschwerdeführerin eine Umtriebsentschädigung für den entstandenen Auf- wand in dem Verfahren zu zahlen." Begründend wurde im Wesentlichen ausgeführt, dass die geltend ge- machte Forderung der B._____ nicht zustehe. Das Versicherungsverhält- nis sei durch wirksame und bestätigte Kündigung vom 30. August 2016 per 31. Dezember 2016 beendet worden. Die B._____ habe in unzulässiger Weise und ohne die Zustimmung der Beschwerdeführerin rückwirkend Prä- mien für die Zeit vom 1. Dezember 2015 bis 30. April 2019 belastet und betrieben. Aufgrund der wirksamen Kündigung und Beendigung des Versi- cherungsverhältnisses per 31. Dezember 2016 seien die einseitigen und</w:t>
      </w:r>
    </w:p>
    <w:p>
      <w:r>
        <w:t>- 4 - rückwirkenden Veränderungen durch die B._____ weder vertragsgemäss noch gesetzlich zulässig gewesen. Folglich könnten auch die geltend ge- machten Prämienrückstände nicht bestehen. Zudem habe per Ende 2016 auch kein Zahlungsausstand und damit keine Säumigkeit bestanden, was die B._____ selbst einräume. Der Nachweis des Nachversicherers (C._____) sei sodann beigebracht worden. Demnach hätten über den 31. Dezember 2016 hinaus keine Prämien mehr gefordert werden dürfen. Ent- sprechend könne für die in Betreibung gesetzten Beträge keine definitive Rechtsöffnung erteilt werden und der angefochtene Einspracheentscheid sei aufzuheben.</w:t>
      </w:r>
    </w:p>
    <w:p>
      <w:r>
        <w:rPr>
          <w:b/>
        </w:rPr>
        <w:t>E. 8</w:t>
      </w:r>
    </w:p>
    <w:p>
      <w:r>
        <w:t>In ihrer Vernehmlassung vom 7. Juni 2019 beantragte die B._____ (nach- folgend: Beschwerdegegnerin) unter Verweis auf den Einspracheentscheid vom 30. April 2019 die Abweisung der Beschwerde. Ergänzend verwies sie betreffend die Vorbringen der Beschwerdeführerin, die Prämien der Mo- nate Dezember 2015 bis April 2019 seien rechtswidrig belastet und betrie- ben worden und per Ende 2016 hätten keine fälligen Prämienrückstände bestanden, auf das rechtskräftige Urteil des Verwaltungsgerichts des Kan- tons Graubünden S 17 145 vom 30. August 2018. Zudem führte die Be- schwerdegegnerin aus, die Aussage der Beschwerdeführerin, die Be- schwerdegegnerin habe selbst eingeräumt, dass ein die fristgerechte Kün- digung des Versicherungsverhältnisses zum 31. Dezember 2016 hindern- der Prämienrückstand nicht bestanden habe, nicht zutreffe.</w:t>
      </w:r>
    </w:p>
    <w:p>
      <w:r>
        <w:rPr>
          <w:b/>
        </w:rPr>
        <w:t>E. 9</w:t>
      </w:r>
    </w:p>
    <w:p>
      <w:r>
        <w:t>Mit Replik vom 26. Juni 2019 reichte die Beschwerdeführerin die A1-Be- scheinigung der D._____ vom 10. September 2018 mit Stempel des Versi- cherungsträgers ein. Zudem führte die Beschwerdeführerin aus, der Nach- weis sei erbracht worden, dass sie seit dem 1. Januar 2017 in Deutschland sowohl eine gesetzliche Krankenversicherung bei der D._____ wie auch privaten Versicherungsschutz bei der C._____ unterhalte. Sodann sei sie nicht nur in O.2._____ angemeldet, sondern habe gemäss der A-1 Beschei-</w:t>
      </w:r>
    </w:p>
    <w:p>
      <w:r>
        <w:t>- 5 - nigung vom 10. September 2018 auch einen Wohnsitz in Deutschland, wo sie zu mehr als 75 % im Büro von Rechtsanwalt E._____ und für die Firma F._____ mit Sitz in Deutschland arbeite. Dies könne Rechtsanwalt E._____ bezeugen. Dass die Beschwerdeführerin mehr als 75 % ihrer Arbeitstätig- keit für den deutschen Arbeitgeber aufbringe, bestreite die Beschwerde- gegnerin nicht. Weil im Wohnstaat Schweiz somit kein wesentlicher Teil der Beschäftigung (&lt; 25 % der Arbeitszeit) ausgeübt werde, seien die deut- schen Rechtsvorschriften anzuwenden. Für die Ausstellung der A1-Be- scheinigung sei deshalb der deutsche Versicherungsträger zuständig, der diese Bescheinigung rückwirkend zu jedem beliebigen Zeitpunkt auf die tatsächliche Dauer des Versicherungsverhältnisses veranlassen könne.</w:t>
      </w:r>
    </w:p>
    <w:p>
      <w:r>
        <w:rPr>
          <w:b/>
        </w:rPr>
        <w:t>E. 10</w:t>
      </w:r>
    </w:p>
    <w:p>
      <w:r>
        <w:t>In ihrer Duplik vom 8. Juli 2019 hielt die Beschwerdegegnerin fest, die Ar- beitstätigkeit der Beschwerdeführerin könne nicht überprüft werden, wes- halb es nicht möglich sei, diesbezüglich eine Stellungnahme abzugeben. Bis heute habe die Beschwerdegegnerin weder vom aushelfenden Träger noch von der Gemeinde O.2._____ eine Mitteilung erhalten, wonach die Beschwerdeführerin nicht mehr in der Schweiz versicherungspflichtig sei.</w:t>
      </w:r>
    </w:p>
    <w:p>
      <w:r>
        <w:rPr>
          <w:b/>
        </w:rPr>
        <w:t>E. 11</w:t>
      </w:r>
    </w:p>
    <w:p>
      <w:r>
        <w:t>Abs. 3 lit. a VO 883/2004). Dieser Grundsatz gilt sowohl für selbständig als auch für unselbständig Erwerbstätige. Nicht massgeblich ist dabei, wo der Erwerbstätige wohnt oder wo sich der Sitz seines Arbeitgebers befindet (vgl. NIEDERER/MEYER, a.a.O., S. 713). Bei Erwerbstätigen, die in mehreren Staaten einer Erwerbstätigkeit nachgehen, gelten insbesondere die folgen- den Koordinationsregeln. Eine Person, die gewöhnlich in zwei oder mehr Mitgliedstaaten eine unselbständige Erwerbstätigkeit ausübt, unterliegt: den Rechtvorschriften des Wohnmitgliedstaats, wenn sie dort einen we- sentlichen Teil ihrer Tätigkeit ausübt (Art. 13 Abs. 1 lit. a VO 883/2004); oder wenn sie im Wohnmitgliedstaat keinen wesentlichen Teil ihrer Tätig- keit ausübt: den Rechtsvorschriften des Mitgliedstaats, in dem das Unter- nehmen oder der Arbeitgeber seinen Sitz oder Wohnsitz hat, sofern sie bei einem Unternehmen bzw. einem Arbeitgeber beschäftigt ist (Art. 13 Abs. 1 lit. b i VO 883/2004), oder den Rechtsvorschriften des Mitgliedstaats, in dem die Unternehmen oder Arbeitgeber ihren Sitz oder Wohnsitz haben, wenn sie bei zwei oder mehr Unternehmen oder Arbeitgebern beschäftigt ist, die ihren Sitz oder Wohnsitz in nur einem Mitgliedstaat haben (13 Abs. 1 lit. b ii VO 883/2004). Art. 14 Abs. 8 DVO 987/2009 hält fest, nach welchen Orientierungskriterien die Ausübung eines wesentlichen Teils der Beschäf- tigung zu interpretieren ist. Als wesentlich gilt die Tätigkeit, wenn sie haupt- sächlich bezüglich Arbeitszeit und/oder des Arbeitsentgelts einen erhebli- chen Teil (aber nicht notwendigerweise den grössten Teil) der Tätigkeit ausmacht, was zutrifft, wenn dieser 25 % und mehr ausmacht (vgl. auch Leitfaden über die Krankenversicherung mit Bezug zur EU/EFTA und über die Leistungsaushilfe für Personen mit einer obligatorischen Krankenpfle- geversicherung [KVG] in der Schweiz, Ausgabe April 2019, Stand 20. Au-</w:t>
      </w:r>
    </w:p>
    <w:p>
      <w:r>
        <w:t>- 14 - gust 2019, Ziff. 3.7; https://www.kvg.org/stream/de/download---0--0--0-- 41.pdf, zuletzt besucht am 16. Dezember 2019). 3.1.2.3.Soweit die Beschwerdeführerin vorliegend sinngemäss geltend machen sollte, sie unterhalte seit dem 1. Januar 2017 eine gesetzliche Krankenver- sicherung bei der D._____ und habe somit den Nachweis gemäss Art. 7 Abs. 5 KVG erbracht, kann auf das in Erwägung 3.1.1.1 f. Gesagte verwie- sen werden. Insbesondere ist die besagte Versicherung nicht im Besitz ei- ner Bewilligung zur Durchführung der sozialen Krankenversicherung (vgl. Art. 4 KVG und Art. 4 ff. KVAG). Sodann ist bezüglich des geltend gemach- ten Einwands, wonach die Beschwerdeführerin in Deutschland zu mehr als 75 % und damit zu einem wesentlichen Teil im Büro von Rechtsanwalt E._____ sowie für die Firma F._____ tätig sei und folglich im Wohnstaat Schweiz kein wesentlicher Teil der Beschäftigung ausgeübt werde, darauf hinzuweisen, dass die Kinder der Beschwerdeführerin im Rahmen der ab- geschlossenen und sie betreffenden Verfahren S 18 103, S 18 112 sowie S 18 113 ausführten, ihre Mutter bzw. die Beschwerdeführerin sei bereits seit der Zeit vor dem 31. Dezember 2016 zu mehr als 75 % für einen deut- schen Arbeitgeber tätig, wobei sie schwerpunktmässig von ihrem "Home Office" in O.2._____ aus arbeite, jedoch auch Geschäftstermine in Deutschland wahrnehme (vgl. Urteile des Verwaltungsgerichts des Kan- tons Graubünden S 18 103, S 18 112 sowie S 18 113 vom 15. Mai 2019 E.3.1.2.3). Damit haben die Kinder der Beschwerdeführerin selbst ein- geräumt, dass ihre Mutter bzw. die Beschwerdeführerin einen überwiegen- den Teil ihrer Tätigkeit im Wohnsitzstaat Schweiz ausführt. Darauf ist vor- liegend abzustellen und die Darlegungen der Beschwerdeführerin in ihrer Replik (vgl. E.3.1.2) sind als konstruiert zu erachten und können daher als nachgeschobene Schutzbehauptungen taxiert werden. Folglich ist die Be- schwerdeführerin gemäss Art. 13 Abs. 1 lit. a VO 883/2004 dem Sozialver- sicherungsrecht in der Schweiz und somit der Versicherungspflicht nach KVG unterstellt. Vor diesem Hintergrund kann willkürfrei auf die beantragte</w:t>
      </w:r>
    </w:p>
    <w:p>
      <w:r>
        <w:t>- 15 - Einvernahme von Rechtsanwalt E._____ sowie auf die Einholung einer Auskunft der D._____ verzichtet werden.</w:t>
      </w:r>
    </w:p>
    <w:p>
      <w:r>
        <w:rPr>
          <w:b/>
        </w:rPr>
        <w:t>E. 13</w:t>
      </w:r>
    </w:p>
    <w:p>
      <w:r>
        <w:t>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 549.95 und Fr. 735.60) bzw. Fr. 240.-- (bei einem Prämienausstand von Fr. 1'025.25) wurde als noch tragbar erachtet (vgl. Urteil des Bundesgerichts 9C_874/2015 vom 4. Februar 2016 E.4.2.1 und 4.2.3). Vorliegend machte die Beschwerdegegnerin im angefochtenen Einspra- cheentscheid vom 30. April 2019 nebst Prämienausständen von Fr. 773.20 Mahnspesen im Umfang von Fr. 130.-- geltend (vgl. Bg-act. 7). Gemäss Art. 14.2 der allgemeinen Versicherungsbedingungen der obligatorischen Krankenpflegeversicherung der Beschwerdegegnerin vom Januar 2018 (nachfolgend: AVB KVG) fallen Auslagen der Beschwerdegegnerin für Mahnungen und Betreibungen zulasten der versicherten Person (vgl. Bg- act. 14). Die Geltendmachung von Mahnspesen durch die Beschwerdegeg- nerin ist in Anbetracht dieser Bestimmung somit grundsätzlich nicht zu be- anstanden. Die Höhe der Verwaltungskosten ist in den AVB KVG nicht fest- gelegt. Wie vorne bereits erwähnt, ist in solchen Fällen für die Beurteilung der Angemessenheit das Äquivalenzprinzip anzuwenden. Angesichts der dargelegten bundesgerichtlichen Rechtsprechung (vgl. Urteil des Bundes- gerichts 9C_874/2015 vom 4. Februar 2016 E.4.2.1 und 4.2.3) kann bei den im angefochtenen Einspracheentscheid vom 30. April 2019 geltend ge- machten Mahnspesen in der Höhe von Fr. 130.-- (bei Prämienausständen</w:t>
      </w:r>
    </w:p>
    <w:p>
      <w:r>
        <w:t>- 20 - von Fr. 773.20) nicht von einem Missverhältnis der Spesen insgesamt zu den Ausständen gesprochen werden. Die besagten Mahnspesen sind der Beschwerdeführerin somit zu Recht auferlegt worden.</w:t>
      </w:r>
    </w:p>
    <w:p>
      <w:r>
        <w:rPr>
          <w:b/>
        </w:rPr>
        <w:t>E. 18</w:t>
      </w:r>
    </w:p>
    <w:p>
      <w:r>
        <w:t>103, S 18 112 und S 18 113 betreffend die Kinder der Beschwerdefüh- rerin, welche mit der Ausfällung der entsprechenden Urteile des Bundes- gerichts 9C_430/2019, 9C_431/2019 und 9C_432/2019 am 17. Oktober 2019 rechtskräftig wurden (vgl. Art. 61 des Bundesgesetzes über das Bun- desgericht [Bundesgerichtsgesetz, BGG; SR 173.110]). Die Beschwerde- führerin hätte somit nach Zustellung der besagten Bundesgerichtsurteile die Möglichkeit gehabt, ihre Beschwerde vom 28. Mai 2019 zurückzuzie- hen, was sie jedoch unterliess. Es rechtfertigt sich daher, vorliegend die Staatsgebühr auf Fr. 500.-- festzulegen und sie zusammen mit den Kanz- leiauslagen der Beschwerdeführerin aufzuerlegen (Art. 61 lit. a ATSG i.V.m. Art. 72 ff.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