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2019 46 vom 5. Mai 2020</w:t>
      </w:r>
    </w:p>
    <w:p>
      <w:r>
        <w:t>GR Gerichte, 2020-05-05, DE</w:t>
      </w:r>
    </w:p>
    <w:p>
      <w:r>
        <w:rPr>
          <w:b/>
        </w:rPr>
        <w:t xml:space="preserve">Quelle: </w:t>
      </w:r>
      <w:r>
        <w:t>https://mcp.opencaselaw.ch/entscheid/gr_gerichte_S_2019_46</w:t>
      </w:r>
    </w:p>
    <w:p>
      <w:r>
        <w:t>FR: GR_GERICHTE S 2019 46 du 5 mai 2020</w:t>
      </w:r>
    </w:p>
    <w:p>
      <w:r>
        <w:t>IT: GR_GERICHTE S 2019 46 del 5 maggio 2020</w:t>
      </w:r>
    </w:p>
    <w:p>
      <w:pPr>
        <w:pStyle w:val="Heading2"/>
      </w:pPr>
      <w:r>
        <w:t>Regeste</w:t>
      </w:r>
    </w:p>
    <w:p>
      <w:r>
        <w:t>Versicherungsleistungen nach IVG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als Versicherungsgericht Vorsitz Pedretti RichterIn von Salis, Audétat Aktuarin ad hoc Strässle URTEIL vom 5. Mai 2020 in der versicherungsrechtlichen Streitsache A._____, vertreten durch Armon Margreth, Beschwerdeführer gegen Sozialversicherungsanstalt des Kantons Graubünden, Beschwerdegegnerin betreffend Versicherungsleistungen nach IVG</w:t>
      </w:r>
    </w:p>
    <w:p>
      <w:r>
        <w:t>- 2 -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