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2019 29 vom 21. April 2020</w:t>
      </w:r>
    </w:p>
    <w:p>
      <w:r>
        <w:t>GR Gerichte, 2020-04-21, DE</w:t>
      </w:r>
    </w:p>
    <w:p>
      <w:r>
        <w:rPr>
          <w:b/>
        </w:rPr>
        <w:t xml:space="preserve">Quelle: </w:t>
      </w:r>
      <w:r>
        <w:t>https://mcp.opencaselaw.ch/entscheid/gr_gerichte_S_2019_29</w:t>
      </w:r>
    </w:p>
    <w:p>
      <w:r>
        <w:t>FR: GR_GERICHTE S 2019 29 du 21 avril 2020</w:t>
      </w:r>
    </w:p>
    <w:p>
      <w:r>
        <w:t>IT: GR_GERICHTE S 2019 29 del 21 aprile 2020</w:t>
      </w:r>
    </w:p>
    <w:p>
      <w:pPr>
        <w:pStyle w:val="Heading2"/>
      </w:pPr>
      <w:r>
        <w:t>Regeste</w:t>
      </w:r>
    </w:p>
    <w:p>
      <w:r>
        <w:t>Versicherungsleistungen nach IVG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Erachtet das zuständige Sozialversicherungsgericht eine Sache in medizi- nischer Hinsicht als ungenügend abgeklärt und somit auch die seitens der</w:t>
      </w:r>
    </w:p>
    <w:p>
      <w:r>
        <w:t>- 16 - Verwaltung vorgenommene Beweiswürdigung als unvollständig, verbleibt ihm auch nach der neuen bundesgerichtlichen Rechtsprechung die Mög- lichkeit, die Sache an den zuständigen Versicherungsträger zurückzuwei- sen, anstatt ein gerichtliches Gutachten zur Klärung einer offenen Frage in Auftrag zu geben. In der Regel ist ein Gerichtsgutachten einzuholen, wenn ein (im Verwaltungsverfahren anderweitig) erhobener medizinischer Sach- verhalt überhaupt für "gutachterlich abklärungsbedürftig" gehalten wird oder eine Administrativexpertise in rechtserheblichen Punkten nicht ausrei- chend beweiswertig ist und dieser Mangel nicht alleine durch eine Klarstel- lung, Präzisierung oder Gutachtensergänzung behoben werden kann (siehe FURRER, Rechtliche und praktische Aspekte auf dem Weg zum Ge- richtsgutachten in der Invalidenversicherung, in: SZS 1/2019 S. 3 ff. S. 4 f.; BGE 137 V 210 E.4.4.1.4 f.). Eine Rückweisung an den Versicherungsträ- ger steht dem Versicherungsgericht aber weiterhin offen, wenn sie in der Erhebung einer bisher vollständig ungeklärten Frage begründet ist oder wenn lediglich eine Klarstellung, Präzisierung oder Ergänzung von gutach- terlichen Ausführungen erforderlich ist (siehe BGE 137 V 210 E.4.4.1.4; KIESER, ATSG-Kommentar, 4. Aufl., Zürich/Basel/Genf 2020, Art. 44 Rz. 71). Vorliegend liess die Beschwerdegegnerin insbesondere die nach der neuen bundesgerichtlichen Rechtsprechung relevante Frage zu allfälli- gen, funktionellen Auswirkungen des (primären) Abhängigkeitssyndroms offen. Demnach ist das streitberufene Gericht befugt, die Sache an die Be- schwerdegegnerin zu ergänzenden Abklärungen zurückzuweisen (vgl. auch Urteile des Bundesgerichts 8C_453/2019 vom 3. Februar 2020 E.3.3 und 8C_245/2019 vom 16. September 2019 E.5.2.2, wonach in entspre- chenden Konstellationen eine Rückweisung an die Verwaltungsbehörde er- folgte).</w:t>
      </w:r>
    </w:p>
    <w:p>
      <w:r>
        <w:rPr>
          <w:b/>
        </w:rPr>
        <w:t>E. 5</w:t>
      </w:r>
    </w:p>
    <w:p>
      <w:r>
        <w:t>Zusammenfassend ist mithin festzuhalten, dass die Beschwerdegegnerin vorliegend nicht auf weitere medizinische Abklärungen hätte verzichten dürfen. Denn gemäss BGE 145 V 215 kommen – wie hier – nachvollziehbar</w:t>
      </w:r>
    </w:p>
    <w:p>
      <w:r>
        <w:t>- 17 - diagnostizierte (siehe dazu bereits vorstehende Erwägung 3.4) Abhängig- keitssyndrome bzw. Substanzkonsumstörungen grundsätzlich als invali- denversicherungsrechtlich beachtliche (psychische) Gesundheitsschäden in Betracht. Deren Auswirkungen auf die funktionelle Leistungsfähigkeit bzw. Arbeitsfähigkeit sind in der Regel nach Massgabe eines strukturierten Beweisverfahrens nach BGE 141 V 281 zu beantworten. Dabei ist zu be- achten, dass auch bei Abhängigkeitssyndromen – nicht anders als bei den meisten Erkrankungen (siehe BGE 140 V 193 E.3.1) – kein direkter Zusam- menhang besteht zwischen Diagnose und Arbeits(un)fähigkeit bzw. Invali- dität. Vielmehr sind die Auswirkungen des bestehenden Gesundheitsscha- dens auf die funktionelle Leistungsfähigkeit im Einzelfall für die Rechtsan- wendenden nachvollziehbar ärztlich festzustellen. Im Rahmen des struktu- rierten Beweisverfahrens kann und muss somit insbesondere dem Schwe- regrad der Abhängigkeit im konkreten Einzelfall Rechnung getragen wer- den. Psychosoziale und soziokulturelle Faktoren mit direkten negativen funktionellen Folgen sind aber selbstverständlich auch bei Abhängig- keitserkrankungen auszuklammern (siehe zum Ganzen BGE 145 V 215 E.6 ff., 143 V 409 E.4.2.1 und 4.5.2 sowie 142 V 106 E.4.4). Damit ist die Beschwerde im Eventualantrag in dem Sinne gutzuheissen, als dass die angefochtene Verfügung aufzuheben und die Sache an die Beschwerde- gegnerin zurückzuweisen ist, damit diese nach ergänzenden Abklärungen des medizinischen Sachverhalts (und unter Gewährung des rechtlichen Gehörs) gestützt auf die dazumal vollständigen, auch das primäre Abhän- gigkeitssyndrom berücksichtigenden, medizinischen Unterlagen über den Leistungsanspruch des Beschwerdeführers neu entscheidet. Bei diesem Ergebnis ist auf die weiteren Rügen des Beschwerdeführers nicht weiter einzugehen.</w:t>
      </w:r>
    </w:p>
    <w:p>
      <w:r>
        <w:rPr>
          <w:b/>
        </w:rPr>
        <w:t>E. 6</w:t>
      </w:r>
    </w:p>
    <w:p>
      <w:r>
        <w:t>Gemäss Art. 69 Abs. 1bis IVG ist das Beschwerdeverfahren – in Abwei- chung von Art. 61 lit. a ATSG – bei Streitigkeiten um die Bewilligung oder Verweigerung von Leistungen der Invalidenversicherung vor dem kantona-</w:t>
      </w:r>
    </w:p>
    <w:p>
      <w:r>
        <w:t>- 18 - len Versicherungsgericht kostenpflichtig. Die Kosten werden nach dem Verfahrensaufwand und unabhängig vom Streitwert im Rahmen von Fr. 200.-- bis Fr. 1ꞌ000.-- festgelegt. Die Rückweisung zu weiteren Ab- klärungen gilt praxisgemäss als vollständiges Obsiegen der beschwerde- führenden Partei bezüglich der Verteilung der Gerichtskosten und der Zu- sprache einer Parteientschädigung (vgl. BGE 141 V 281 E.11.1, 137 V 210 E.7.1 und 132 V 215 E.6.2). Infolge des Ausgangs des Beschwerdeverfah- rens, sind die Gerichtskosten von Fr. 700.-- demnach der Beschwerdegeg- nerin zu überbinden (vgl. Art. 73 Abs. 1 VRG).</w:t>
      </w:r>
    </w:p>
    <w:p>
      <w:r>
        <w:rPr>
          <w:b/>
        </w:rPr>
        <w:t>E. 7</w:t>
      </w:r>
    </w:p>
    <w:p>
      <w:r>
        <w:t>Der Beschwerdeführer hat gestützt auf Art. 61 lit. g ATSG Anspruch auf Ersatz der Parteikosten zu Lasten der unterliegenden Beschwerdegegne- rin. Die Bemessung der Entschädigung erfolgt ohne Rücksicht auf den Streitwert nach der Bedeutung der Streitsache und nach der Schwierigkeit des Prozesses, wobei der zeitliche Aufwand der Rechtsvertretung regel- mässig durch die Schwierigkeit des Prozesses mitbestimmt wird. Im Übri- gen wird die Bemessung der Parteientschädigung gemäss Art. 61 Satz 1 ATSG nach dem kantonalen Rechts bestimmt (siehe Urteile des Bundes- gerichts 9C_321/2018 vom 16. Oktober 2018 E.6.1 und 9C_688/2009 vom 19. November 2009 E.3.1.1 f.). Gemäss Art. 78 VRG i.V.m. Art. 2 der Ver- ordnung über die Bemessung des Honorars der Rechtsanwältinnen und Rechtsanwälte (Honorarverordnung, HV; BR 310.250) wird die Parteien- tschädigung nach Ermessen des Gerichts festgesetzt, wobei es grundsätz- lich von dem in der Honorarnote geltend gemachten (und als angemessen zu betrachtenden) Aufwand sowie (üblichen) Stundenansatz ausgeht. Der Rechtsvertreter des Beschwerdeführers reichte weder eine Honorarverein- barung noch eine Kostennote ein. Vorliegend erweist sich eine pauschale Parteienschädigung im Betrag von Fr. 2'000.-- (inkl. Barauslagen und MWST) als angemessen und die Beschwerdegegnerin hat den Beschwer- deführer in diesem Umfang aussergerichtlich zu entschädigen. Bei diesem</w:t>
      </w:r>
    </w:p>
    <w:p>
      <w:r>
        <w:t>- 19 - Ausgang des Verfahrens wird das Gesuch um unentgeltliche Rechtspflege und prozessuale Verbeiständung gegenstandslos.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