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2017 66 vom 13. September 2017</w:t>
      </w:r>
    </w:p>
    <w:p>
      <w:r>
        <w:t>GR Gerichte, 2017-09-13, DE</w:t>
      </w:r>
    </w:p>
    <w:p>
      <w:r>
        <w:rPr>
          <w:b/>
        </w:rPr>
        <w:t xml:space="preserve">Quelle: </w:t>
      </w:r>
      <w:r>
        <w:t>https://mcp.opencaselaw.ch/entscheid/gr_gerichte_S_2017_66</w:t>
      </w:r>
    </w:p>
    <w:p>
      <w:r>
        <w:t>FR: GR_GERICHTE S 2017 66 du 13 septembre 2017</w:t>
      </w:r>
    </w:p>
    <w:p>
      <w:r>
        <w:t>IT: GR_GERICHTE S 2017 66 del 13 settembre 2017</w:t>
      </w:r>
    </w:p>
    <w:p>
      <w:pPr>
        <w:pStyle w:val="Heading2"/>
      </w:pPr>
      <w:r>
        <w:t>Regeste</w:t>
      </w:r>
    </w:p>
    <w:p>
      <w:r>
        <w:t>Versicherungsleistungen nach IVG (Renteneinstellung) | Invalidenversicherung</w:t>
      </w:r>
    </w:p>
    <w:p>
      <w:pPr>
        <w:pStyle w:val="Heading2"/>
      </w:pPr>
      <w:r>
        <w:t>Erwägungen</w:t>
      </w:r>
    </w:p>
    <w:p>
      <w:r>
        <w:rPr>
          <w:b/>
        </w:rPr>
        <w:t>E. 3</w:t>
      </w:r>
    </w:p>
    <w:p>
      <w:r>
        <w:t>Aufgrund der Einstellung der IV-Rente verfügte auch die AHV-Ausgleichs- kasse des Kantons Graubünden als EL-Durchführungsstelle (nachfol- gend: AHV-Ausgleichskasse) mit verfahrensleitender Verfügung vom 20. April 2017 mit Wirkung ab dem 1. April 2017 die vorsorgliche Einstellung der Ergänzungsleistungen.</w:t>
      </w:r>
    </w:p>
    <w:p>
      <w:r>
        <w:rPr>
          <w:b/>
        </w:rPr>
        <w:t>E. 4</w:t>
      </w:r>
    </w:p>
    <w:p>
      <w:r>
        <w:t>Eventualiter sei eine superprovisorische Verfügung auszustellen, die die sofortige Wiedereinsetzung des Beschwerdeführers in die Anspruchsberechtigung von IV- Rente und EL nach Pkt. 4 hiervor feststellt. Und damit der Beschwerde aufschieben- de Wirkung verleiht.</w:t>
      </w:r>
    </w:p>
    <w:p>
      <w:r>
        <w:rPr>
          <w:b/>
        </w:rPr>
        <w:t>E. 5</w:t>
      </w:r>
    </w:p>
    <w:p>
      <w:r>
        <w:t>Der Auftrag zur medizinischen Abklärung an der Regionaler Ärztlicher Dienst Ost- schweiz (RAD Ostschweiz) sei zu stornieren.</w:t>
      </w:r>
    </w:p>
    <w:p>
      <w:r>
        <w:rPr>
          <w:b/>
        </w:rPr>
        <w:t>E. 6</w:t>
      </w:r>
    </w:p>
    <w:p>
      <w:r>
        <w:t>Die beabsichtigte medizinische Abklärung sei einer Institution zu übertragen, die die jetzige Aktenlage nicht kennt.</w:t>
      </w:r>
    </w:p>
    <w:p>
      <w:r>
        <w:t>- 3 -</w:t>
      </w:r>
    </w:p>
    <w:p>
      <w:r>
        <w:rPr>
          <w:b/>
        </w:rPr>
        <w:t>E. 7</w:t>
      </w:r>
    </w:p>
    <w:p>
      <w:r>
        <w:t>Herrn A._____ sei die unentgeltliche Rechtspflege zu gewähren.</w:t>
      </w:r>
    </w:p>
    <w:p>
      <w:r>
        <w:rPr>
          <w:b/>
        </w:rPr>
        <w:t>E. 8</w:t>
      </w:r>
    </w:p>
    <w:p>
      <w:r>
        <w:t>a) Da es im vorliegenden Verfahren um die Bewilligung oder Verweigerung von Leistungen der Invalidenversicherung geht, ist das Verfahren kosten- pflichtig. Die Gerichtskosten sind gemäss Art. 69 Abs. 1bis IVG nach dem Verfahrensaufwand und unabhängig vom Streitwert zu bemessen. Diese werden für den vorliegenden Fall, der mit einem durchschnittlichen Auf- wand verbunden war, ermessensweise auf Fr. 500.-- festgelegt. Dem Prozessausgang entsprechend sind sie dem Beschwerdeführer als unter- liegender Partei aufzuerlegen (Art. 73 Abs. 1 VRG). Der obsiegenden Be- schwerdegegnerin steht keine Parteientschädigung zu (Art. 61 lit. g ATSG e contrario). b) Bei diesem Prozessausgang bleibt das Gesuch des Beschwerdeführers um Gewährung der unentgeltlichen Prozessführung und Rechtsverbei- ständung zu prüfen. Gemäss Art. 29 Abs. 3 der Bundesverfassung der Schweizerischen Eidgenossenschaft (BV; SR 101) hat jede Person, die nicht über die erforderlichen Mittel verfügt, Anspruch auf unentgeltliche Rechtspflege, wenn ihr Rechtsbegehren nicht aussichtslos erscheint. So- weit es zur Wahrung ihrer Rechte notwendig ist, hat sie ausserdem An- spruch auf einen unentgeltlichen Rechtsbeistand. Diese Regelung wird für das sozialversicherungsrechtliche Beschwerdeverfahren betreffend die Bewilligung und Verweigerung von Leistungen der Invalidenversicherung in Art. 76 VRG (Verfahrenskosten) und Art. 61 lit. f ATSG (unentgeltliche Rechtsverbeiständung) konkretisiert. Danach gilt ein Gesuchsteller als bedürftig, welcher die Kosten eines Prozesses nicht aufzubringen ver- mag, ohne jene Mittel anzugreifen, die er zur Deckung des notwendigen Lebensunterhalts für sich und seine Familie bedarf (BGE 135 I 221 E.5.1,</w:t>
      </w:r>
    </w:p>
    <w:p>
      <w:r>
        <w:t>- 14 - 128 I 225 E.2.5, 127 I 202 E.3b, KIESER, a.a.O., Art. 61 Rz. 179). Die pro- zessuale Bedürftigkeit beurteilt sich grundsätzlich nach der gesamten wirtschaftlichen Situation des Rechtssuchenden im Zeitpunkt der Einrei- chung des Gesuchs. Dazu gehören einerseits sämtliche finanziellen Ver- pflichtungen, anderseits die Einkommens- und Vermögensverhältnisse (BGE 135 I 221 E.5.1, Urteile des Bundesgericht 5A_726/2014 vom 2. Februar 2015 E.4.2, 4A_661/2010 vom 16. Februar 2011 E.3.2). In die- sem Fall hat er Anspruch auf unentgeltliche Rechtsverbeiständung, wenn er zur Wahrung seiner Rechte auf anwaltliche Hilfe angewiesen ist und die von ihm gestellten Begehren nicht aussichtslos erscheinen. Letzteres trifft auf Begehren zu, bei denen die Gewinnaussichten beträchtlich gerin- ger sind als die Verlustgefahr und die deshalb kaum als ernsthaft be- zeichnet werden können (BGE 140 V 521 E.9.1, 138 III 217 E.2.2.4, 134 I 92 E.3.2.1, 133 III 614 E.5, 130 I 350 E.3.1 und 4). c) Die finanzielle Bedürftigkeit des Beschwerdeführers ist hier aufgrund der eingereichten Unterlagen ohne Weiteres gegeben. Die vorliegende Strei- tigkeit bot bereits aufgrund der Anfechtbarkeit der angefochtenen Zwi- schenverfügung einige rechtliche Schwierigkeiten. Für die Wahrung sei- ner Interessen war der Beschwerdeführer, der über keine besonderen Rechtskenntnisse verfügt, daher auf eine anwaltliche Vertretung ange- wiesen. Ausserdem erschien die Möglichkeit, dass er mit seinem Begeh- ren auf Aufhebung der die IV-Rente vorsorglich einstellende Zwischenver- fügung durchdränge, nicht von vornherein derart gering, um eine Person, die über ausreichend Geld für die Finanzierung des Beschwerdeverfah- rens verfügt, von einer Beschwerdeerhebung abzuhalten, da sie die Ge- winnchance als nicht ernsthaft in Betracht zu ziehen eingestuft hätte. d) Daraus folgt, dass der Beschwerdeführer nicht in der Lage ist, für die Ge- richtskosten von Fr. 500.-- sowie die durch das vorliegende Beschwerde- verfahren verursachten Anwaltskosten aufzukommen. Dem Gesuch des</w:t>
      </w:r>
    </w:p>
    <w:p>
      <w:r>
        <w:t>- 15 - Beschwerdeführers um Gewährung der unentgeltlichen Rechtspflege ist demnach stattzugeben und Rechtsanwalt lic. iur. Dieter R. Marty als un- entgeltlicher Rechtsbeistand des Beschwerdeführers einzusetzen. Dem- zufolge gehen die Gerichtskosten von Fr. 500.-- zulasten der Gerichts- kasse. Dasselbe gilt für die Anwaltskosten, sofern sich diese als notwen- dig und angemessen erweisen. e) Der unentgeltliche Rechtsvertreter kann für den berechtigten Aufwand ein Honorar von Fr. 200.-- pro Stunde zuzüglich notwendiger Barauslagen und Mehrwertsteuer beanspruchen (Art. 76 Abs. 3 VRG i.V.m. Art. 16 des kantonalen Anwaltsgesetzes [BR 310.100] und Art. 5 der Verordnung über die Bemessung des Honorars der Rechtsanwältinnen und Rechts- anwälte [BR 310.250]). Der Rechtsvertreter des Beschwerdeführers macht in der Honorarnote vom 6. Juli 2017 Aufwendungen im Betrag von Fr. 2'695.70, bestehend aus einem Honorar von Fr. 2'400.-- (12 Stunden x Fr. 200.--), Spesen von Fr. 96.-- und 8 % MWST von Fr. 199.70, gel- tend. Dieser Aufwand erscheint angemessen, insoweit als er sich auf bei- de Verfahren (das vorliegende und das Verfahren S 17 65) bezieht. Wie der Rechtsvertreter im Begleitschreiben zur Honorarnote vom 6. Juli 2017 selbst ausführt, ist der geltend gemachte Aufwand auf beide Verfahren zu verteilen, weshalb er für das vorliegende Verfahren mit Fr. 1'347.85 (1/2 von Fr. 2'695.70) aus der Gerichtskasse zu entschädigen ist. f) Wenn sich die Einkommens- oder Vermögensverhältnisse des Beschwer- deführers gebessert haben und er hierzu in der Lage ist, hat er das Erlas- sene und die Kosten der Rechtsvertretung zu erstatten (Art. 77 VRG).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