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2014 21 vom 30. September 2014</w:t>
      </w:r>
    </w:p>
    <w:p>
      <w:r>
        <w:t>GR Gerichte, 2014-09-30, DE</w:t>
      </w:r>
    </w:p>
    <w:p>
      <w:r>
        <w:rPr>
          <w:b/>
        </w:rPr>
        <w:t xml:space="preserve">Quelle: </w:t>
      </w:r>
      <w:r>
        <w:t>https://mcp.opencaselaw.ch/entscheid/gr_gerichte_S_2014_21</w:t>
      </w:r>
    </w:p>
    <w:p>
      <w:r>
        <w:t>FR: GR_GERICHTE S 2014 21 du 30 septembre 2014</w:t>
      </w:r>
    </w:p>
    <w:p>
      <w:r>
        <w:t>IT: GR_GERICHTE S 2014 21 del 30 settembre 2014</w:t>
      </w:r>
    </w:p>
    <w:p>
      <w:pPr>
        <w:pStyle w:val="Heading2"/>
      </w:pPr>
      <w:r>
        <w:t>Regeste</w:t>
      </w:r>
    </w:p>
    <w:p>
      <w:r>
        <w:t>Versicherungsleistungen nach IVG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September 2009 eine Invalidenrente zustehe, kann darauf nicht einge- treten werden, da diese Thematik nicht Inhalt und Regelungsgegenstand der angefochtenen Verfügung war.</w:t>
      </w:r>
    </w:p>
    <w:p>
      <w:r>
        <w:t>- 18 -</w:t>
      </w:r>
    </w:p>
    <w:p>
      <w:r>
        <w:rPr>
          <w:b/>
        </w:rPr>
        <w:t>E. 4</w:t>
      </w:r>
    </w:p>
    <w:p>
      <w:r>
        <w:t>a) Die angefochtene Verfügung vom 24. Januar 2014 ist somit nicht recht- mässig, was zur Gutheissung der Beschwerde vom 6. Februar 2014 und zur Aufhebung des Nichteintretensentscheids betreffend erneutes Leis- tungsbegehren führt. Die Angelegenheit ist daher an die Beschwerdegeg- nerin zur nochmaligen Abklärung des fallrelevanten Sachverhalts (Reise- fähigkeit des Beschwerdeführers) und zu einem neuen Terminaufgebot des Beschwerdeführers in die Begutachtungsstelle ABI Basel zurückzu- weisen (vgl. E.3d); soweit das Gericht auf die Beschwerde eintritt (E.3f). b) Laut Art. 69 Abs. 1bis IVG ist das Beschwerdeverfahren – in Abweichung von Art. 61 lit. a ATSG – bei Streitigkeiten um die Bewilligung oder Ver- weigerung von IV-Leistungen vor dem kantonalen Versicherungsgericht kostenpflichtig. Diese Kosten werden nach dem Verfahrensaufwand und unabhängig vom Streitwert im Umfang von Fr. 200.-- bis Fr. 1‘000.-- fest- gelegt. Angesichts des Ausgangs dieses Verfahrens sind die Kosten von Fr. 500.-- der unterliegenden Beschwerdegegnerin aufzuerlegen. Letztere hat den anwaltlich vertretenen Beschwerdeführer gemäss Art. 61 lit. g ATSG zudem aussergerichtlich angemessen zu entschädigen, wobei auf die vom Rechtsvertreter des Beschwerdeführers eingereichte Honorarno- te vom 20. Mai 2014, nochmals bestätigt mit Eingabe vom 6. Juni 2014, in der Höhe von Fr. 4‘860.-- (18 verrechnete Aufwandsstunden à Fr. 270.--) aufgrund der fehlenden Detailliertheit und der damit ungenügenden Über- prüfbarkeit nicht abgestellt werden kann. Das Gericht setzt die ausserge- richtliche Entschädigung infolgedessen ermessensweise und gestützt auf Art. 61 lit. g ATSG auf pauschal Fr. 2'000.-- fest, womit der Bedeutung und dem Schwierigkeitsgrad der vorliegenden Streitsache hinreichend Rechnung getragen wird (vgl. dazu Stellungnahme der Beschwerdegeg- nerin vom 22. Mai 2014, worin das Beschwerdethema bereits auf die zen- trale Frage [Mitwirkungspflicht/Reiseunfähigkeit] eingegrenzt wurde). Die</w:t>
      </w:r>
    </w:p>
    <w:p>
      <w:r>
        <w:t>- 19 - Beschwerdegegnerin hat dem Beschwerdeführer daher noch eine Partei- entschädigung von Fr. 2'000.-- zu bezahlen.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