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2 vom 28. August 2012</w:t>
      </w:r>
    </w:p>
    <w:p>
      <w:r>
        <w:t>GR Gerichte, 2012-08-28, DE</w:t>
      </w:r>
    </w:p>
    <w:p>
      <w:r>
        <w:rPr>
          <w:b/>
        </w:rPr>
        <w:t xml:space="preserve">Quelle: </w:t>
      </w:r>
      <w:r>
        <w:t>https://mcp.opencaselaw.ch/entscheid/gr_gerichte_S_2012_2</w:t>
      </w:r>
    </w:p>
    <w:p>
      <w:r>
        <w:t>FR: GR_GERICHTE S 2012 2 du 28 août 2012</w:t>
      </w:r>
    </w:p>
    <w:p>
      <w:r>
        <w:t>IT: GR_GERICHTE S 2012 2 del 28 agosto 2012</w:t>
      </w:r>
    </w:p>
    <w:p>
      <w:pPr>
        <w:pStyle w:val="Heading2"/>
      </w:pPr>
      <w:r>
        <w:t>Regeste</w:t>
      </w:r>
    </w:p>
    <w:p>
      <w:r>
        <w:t>IV-Rente | Invalidenversicherung</w:t>
      </w:r>
    </w:p>
    <w:p>
      <w:pPr>
        <w:pStyle w:val="Heading2"/>
      </w:pPr>
      <w:r>
        <w:t>Erwägungen</w:t>
      </w:r>
    </w:p>
    <w:p>
      <w:r>
        <w:rPr>
          <w:b/>
        </w:rPr>
        <w:t>E. 6</w:t>
      </w:r>
    </w:p>
    <w:p>
      <w:r>
        <w:t>a) Zusammenfassend ist festzuhalten, dass die Vorinstanz das beschwerdeführerische Leistungsbegehren, was den Zeitraum vom 16. November 2009 bis zum 28. Februar 2011 betrifft, unter Berücksichtigung einer vollständigen beschwerdeführerischen Arbeitsfähigkeit in adaptierter Tätigkeit zu Recht abgewiesen hat. Nicht zu beanstanden ist auch, dass die IV-Stelle infolge der vom Beschwerdeführer ins Recht gelegten Gesamtbeurteilung vom 8. Dezember 2011 die Beschwerde teilweise - mithin für den Zeit ab dem 1. März 2011 - anerkannt und sich zu weiteren medizinischen Abklärungen und Untersuchungen bekannt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