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SKG 2003 67 vom 18. Februar 2004</w:t>
      </w:r>
    </w:p>
    <w:p>
      <w:r>
        <w:t>GR Gerichte, 2004-02-18, DE</w:t>
      </w:r>
    </w:p>
    <w:p>
      <w:r>
        <w:rPr>
          <w:b/>
        </w:rPr>
        <w:t xml:space="preserve">Quelle: </w:t>
      </w:r>
      <w:r>
        <w:t>https://mcp.opencaselaw.ch/entscheid/gr_gerichte_SKG_2003_67</w:t>
      </w:r>
    </w:p>
    <w:p>
      <w:r>
        <w:t>FR: GR_GERICHTE SKG 2003 67 du 18 février 2004</w:t>
      </w:r>
    </w:p>
    <w:p>
      <w:r>
        <w:t>IT: GR_GERICHTE SKG 2003 67 del 18 febbraio 2004</w:t>
      </w:r>
    </w:p>
    <w:p>
      <w:pPr>
        <w:pStyle w:val="Heading2"/>
      </w:pPr>
      <w:r>
        <w:t>Regeste</w:t>
      </w:r>
    </w:p>
    <w:p>
      <w:r>
        <w:t>definitive Rechtsöffnung | Rechtsöffnung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Kosten des Rechtsöffnungsverfahrens im Betrage von Fr. 300.00 gehen zu 1/6 zulasten von B. und zu 5/6 zulasten von A.. Der auf B. entfallende Betrag wird unter Erteilung des Regressrechtes vorschuss- weise bei A. erhoben und mit dem durch ihn geleisteten Kostenvor- schuss verrechnet.</w:t>
      </w:r>
    </w:p>
    <w:p>
      <w:r>
        <w:rPr>
          <w:b/>
        </w:rPr>
        <w:t>E. 3</w:t>
      </w:r>
    </w:p>
    <w:p>
      <w:r>
        <w:t>Ausseramtlich werden keine Kosten gesprochen.</w:t>
      </w:r>
    </w:p>
    <w:p>
      <w:r>
        <w:rPr>
          <w:b/>
        </w:rPr>
        <w:t>E. 4</w:t>
      </w:r>
    </w:p>
    <w:p>
      <w:r>
        <w:t>(Rechtsmittelbelehrung).</w:t>
      </w:r>
    </w:p>
    <w:p>
      <w:r>
        <w:rPr>
          <w:b/>
        </w:rPr>
        <w:t>E. 5</w:t>
      </w:r>
    </w:p>
    <w:p>
      <w:r>
        <w:t>(Mitteilung).“ Zur Begründung wurde im Wesentlichen ausgeführt, dass die definitive Rechtsöffnung aufgrund eines Urteils vom Gesuchsgegner mit dem Einwand der Tilgung durch Verrechnung nur verhindert werden könne, wenn dieser Urkunden</w:t>
      </w:r>
    </w:p>
    <w:p>
      <w:r>
        <w:t>3 beilege, die ihrerseits mindestens zur provisorischen Rechtsöffnung berechtigen. Vom Gesuchsgegner sei in casu glaubhaft gemacht worden, dass ihm aus dem Architektur- und Bauleitungsvertrag vom 7. Januar 1998 noch eine Forderung im Betrag von Fr. 1'100.-- zustehe. Die restliche vom Gesuchsgegner geltend ge- machte Gegenforderung im Betrag von Fr. 3'000.-- könne jedoch nicht mit dem in Betreibung gesetzten Betrag verrechnet werden, da sie nicht fällig sei. D. Gegen diesen Entscheid liess A. am 22. Dezember 2003 beim Kan- tonsgerichtsauschuss von Graubünden Beschwerde erheben mit dem folgenden Begehren: „1. Der angefochtene Entscheid des Bezirksgerichtspräsidenten Albula vom 29. Oktober 2003, eingegangen am 11. Dezember 2003, sei auf- zuheben. 2. Der Rechtsvorschlag von B. in der Betreibung Nr. X. des Betreibungs- amtes Alvaschein vom 12. September 2003 sei aufzuheben und es sei dem Beschwerdeführer für den Betrag von Fr. 1'398.80 zuzüglich 5% Zins seit 8. August 2003 sowie für die Kosten des Zahlungsbefehls von Fr. 70.- die definitive Rechtsöffnung zu erteilen. 3. Unter Kosten- und Entschädigungsfolge zu Lasten des Rechtsöffnungs- beklagten für beide Instanzen.“ Zur Begründung wurde im Wesentlichen geltend gemacht, dass die vom Be- schwerdegegner eingebrachten Urkunden die definitive Rechtsöffnung nicht verhin- dern könnten, da sie weder einen provisorischen Rechtsöffnungstitel noch eine vor- behaltlose Schuldanerkennung darstellen würden. E. In seiner Vernehmlassung vom 9. Februar 2004 liess der Beschwer- degegner die Abweisung der Beschwerde unter Kosten und Entschädigungsfolge zulasten des Beschwerdeführers beantragen. Die Vorinstanz verzichtete mit Schrei- ben vom 7. Januar 2004 auf eine Stellungnahme unter Hinweis auf den angefoch- tenen Entscheid. Auf die weiteren Ausführungen in den Rechtsschriften sowie im angefochte- nen Entscheid wird, soweit erforderlich, in den nachstehenden Erwägungen einge- gangen. Der Kantonsgerichtsausschuss zieht in Erwägung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