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SKA 2005 39 vom 14. Februar 2006</w:t>
      </w:r>
    </w:p>
    <w:p>
      <w:r>
        <w:t>GR Gerichte, 2006-02-14, DE</w:t>
      </w:r>
    </w:p>
    <w:p>
      <w:r>
        <w:rPr>
          <w:b/>
        </w:rPr>
        <w:t xml:space="preserve">Quelle: </w:t>
      </w:r>
      <w:r>
        <w:t>https://mcp.opencaselaw.ch/entscheid/gr_gerichte_SKA_2005_39</w:t>
      </w:r>
    </w:p>
    <w:p>
      <w:r>
        <w:t>FR: GR_GERICHTE SKA 2005 39 du 14 février 2006</w:t>
      </w:r>
    </w:p>
    <w:p>
      <w:r>
        <w:t>IT: GR_GERICHTE SKA 2005 39 del 14 febbraio 2006</w:t>
      </w:r>
    </w:p>
    <w:p>
      <w:pPr>
        <w:pStyle w:val="Heading2"/>
      </w:pPr>
      <w:r>
        <w:t>Regeste</w:t>
      </w:r>
    </w:p>
    <w:p>
      <w:r>
        <w:t>Pfändung | Beschwerde 17 Abs. 1 SchKG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wird nach Einsichtnahme in die Beschwerde vom 18. November 2005, in die Ver- nehmlassung der Beschwerdegegnerin vom 1. Februar 2006, in die vom Betrei- bungsamt zugestellten Verfahrensakten sowie in Erwägung,  dass X. von Y. für den Betrag von Fr. 118'846.-- betrieben wird und die Gläu- bigerin am 4. November 2005 nach erfolgreicher Beseitigung des Rechtsvor- schlags durch Rechtsöffnungsentscheid des Bezirksgerichtspräsidenten Sur- selva vom 13. Oktober 2005 am 4. November 2005 beim Betreibungsamt Ilanz das Fortsetzungsbegehren gestellt hat,  dass das Betreibungsamt Ilanz am 7. November 2005 die Pfändung betreffend einen Miteigentumsanteil des Schuldners an einer Liegenschaft in L. vollzogen und die Pfändungsurkunde ausgestellt hat,  dass X. dagegen am 18. November 2005 beim Bezirksgericht Surselva Be- schwerde eingereicht hat,  dass diese vom Bezirksgericht Surselva am 23. November 2005 zuständig- keitshalber dem Kantonsgerichtsauschuss von Graubünden überwiesen wurde,  dass dies indessen an der Rechtzeitigkeit der Beschwerde nichts ändert,  dass das Betreibungsamt Ilanz am 14. Dezember 2005 auf eine Stellung- nahme verzichtet hat,  dass Y. ihre Stellungnahme am 1. Februar 2006 zukommen liess,  dass X. in seiner Beschwerde nicht vorbringt, das Betreibungsamt Ilanz habe im Zusammenhang mit der Pfändung Verfahrensfehler begangen,  dass der Beschwerdeführer indessen geltend macht, er habe sämtliche Ausstände gegenüber Y. durch Zahlung an die Alimenten-Inkassostelle begli- chen,</w:t>
      </w:r>
    </w:p>
    <w:p>
      <w:r>
        <w:rPr>
          <w:b/>
        </w:rPr>
        <w:t>E. 3</w:t>
      </w:r>
    </w:p>
    <w:p>
      <w:r>
        <w:t> dass dieser Einwand indessen nicht dazu führt, dass die Aufsichtsbehörde die Pfändungsurkunde aufheben könnte,  dass X. vielmehr gemäss Art. 85 bzw. Art. 85a SchKG beim Richter in dem dort vorgesehenen Verfahren die Einstellung der Betreibung zu verlangen hat (vgl. Bodmer, in: Staehelin/Bauer/Staehelin, Kommentar zum Bundesgesetz über Schuldbetreibung und Konkurs, SchKG I, Basel 1998, N 17 zu Art. 85 SchKG),  dass unter diesen Umständen auf die Beschwerde nicht eingetreten werden kann,  dass gemäss Art. 20a SchKG und Art. 61 Abs. 2 lit. a der Gebührenverordnung zum SchKG für das Beschwerdeverfahren keine Kosten erhoben werden und gemäss Art. 62 Abs. 2 der Gebührenverordnung auch keine Parteientschädi- gungen ausgerichtet werden dürfen,</w:t>
      </w:r>
    </w:p>
    <w:p>
      <w:r>
        <w:rPr>
          <w:b/>
        </w:rPr>
        <w:t>E. 4</w:t>
      </w:r>
    </w:p>
    <w:p>
      <w:r>
        <w:t>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