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GR_GERICHTE SK2 2012 31 vom 5. September 2012</w:t>
      </w:r>
    </w:p>
    <w:p>
      <w:r>
        <w:t>GR Gerichte, 2012-09-05, DE</w:t>
      </w:r>
    </w:p>
    <w:p>
      <w:r>
        <w:rPr>
          <w:b/>
        </w:rPr>
        <w:t xml:space="preserve">Quelle: </w:t>
      </w:r>
      <w:r>
        <w:t>https://mcp.opencaselaw.ch/entscheid/gr_gerichte_SK2_2012_31</w:t>
      </w:r>
    </w:p>
    <w:p>
      <w:r>
        <w:t>FR: GR_GERICHTE SK2 2012 31 du 5 septembre 2012</w:t>
      </w:r>
    </w:p>
    <w:p>
      <w:r>
        <w:t>IT: GR_GERICHTE SK2 2012 31 del 5 settembre 2012</w:t>
      </w:r>
    </w:p>
    <w:p>
      <w:pPr>
        <w:pStyle w:val="Heading2"/>
      </w:pPr>
      <w:r>
        <w:t>Regeste</w:t>
      </w:r>
    </w:p>
    <w:p>
      <w:r>
        <w:t>Verlängerung der Untersuchungshaft im schriftlichen Verfahren | Beschwerde gegen Zwangsmassnahmengericht, Strafrecht, U-Haft etc.</w:t>
      </w:r>
    </w:p>
    <w:p>
      <w:pPr>
        <w:pStyle w:val="Heading2"/>
      </w:pPr>
      <w:r>
        <w:t>Erwägungen</w:t>
      </w:r>
    </w:p>
    <w:p>
      <w:r>
        <w:rPr>
          <w:b/>
        </w:rPr>
        <w:t>E. 7</w:t>
      </w:r>
    </w:p>
    <w:p>
      <w:r>
        <w:t>Zusammenfassend ist festzuhalten, dass im Falle von X. sowohl die Flucht- gefahr gemäss Art. 221 Abs. 1 lit. a StPO wie auch die Kollusionsgefahr gemäss Art. 221 Abs. 1 lit. b StPO gegeben sind und Ersatzmassnahmen im Sinne von Art. 237 StPO zur Erreichung des Haftzwecks nicht genügen würden. Die Vorin- stanz hat somit das Gesuch der Staatsanwaltschaft zu Recht gutgeheissen und eine Verlängerung der Untersuchungshaft angeordnet. Demzufolge ist die vorlie- gende Beschwerde abzuweisen.</w:t>
      </w:r>
    </w:p>
    <w:p>
      <w:r>
        <w:rPr>
          <w:b/>
        </w:rPr>
        <w:t>E. 8</w:t>
      </w:r>
    </w:p>
    <w:p>
      <w:r>
        <w:t>Bei diesem Ausgang des Verfahrens gehen die Kosten zu Lasten des Be- schwerdeführers (Art. 428 Abs. 1 StPO).</w:t>
      </w:r>
    </w:p>
    <w:p>
      <w:r>
        <w:t>Seite 11 — 11 III.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