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2010 18 vom 26. Mai 2010</w:t>
      </w:r>
    </w:p>
    <w:p>
      <w:r>
        <w:t>GR Gerichte, 2010-05-26, DE</w:t>
      </w:r>
    </w:p>
    <w:p>
      <w:r>
        <w:rPr>
          <w:b/>
        </w:rPr>
        <w:t xml:space="preserve">Quelle: </w:t>
      </w:r>
      <w:r>
        <w:t>https://mcp.opencaselaw.ch/entscheid/gr_gerichte_SK1_2010_18</w:t>
      </w:r>
    </w:p>
    <w:p>
      <w:r>
        <w:t>FR: GR_GERICHTE SK1 2010 18 du 26 mai 2010</w:t>
      </w:r>
    </w:p>
    <w:p>
      <w:r>
        <w:t>IT: GR_GERICHTE SK1 2010 18 del 26 maggio 2010</w:t>
      </w:r>
    </w:p>
    <w:p>
      <w:pPr>
        <w:pStyle w:val="Heading2"/>
      </w:pPr>
      <w:r>
        <w:t>Regeste</w:t>
      </w:r>
    </w:p>
    <w:p>
      <w:r>
        <w:t>grobe Verletzung von Verkehrsvorschriften | Strassenverkehrsgesetz SVG</w:t>
      </w:r>
    </w:p>
    <w:p>
      <w:pPr>
        <w:pStyle w:val="Heading2"/>
      </w:pPr>
      <w:r>
        <w:t>Erwägungen</w:t>
      </w:r>
    </w:p>
    <w:p>
      <w:r>
        <w:rPr>
          <w:b/>
        </w:rPr>
        <w:t>E. 20</w:t>
      </w:r>
    </w:p>
    <w:p>
      <w:r>
        <w:t>März 2009 (vgl. act. 7), er sei etwas erstaunt gewesen, wie schnell das entgegenkommende Fahrzeug näher gekommen sei, noch zusätzlich verstärkt. Dass sich der entgegenkommende Fahrzeuglenker nicht wie von X. dargelegt, mittels Betätigung der Lichthupe „beschwert“ habe, bedeutet noch lange nicht, dass X. durch sein Überholmanöver das entgegenkommende Fahrzeug weder behindert noch gefährdet hat. X. hat mit seinem Überholmanöver – insbesondere auch aufgrund des zum Tatzeitpunkt herrschenden erhöhten Verkehrsaufkommens - eine erhöhte abstrakte Gefahr begründet, da, wie auch die in den Akten enthaltenen Bildaufnahmen und das Video des Vorfalles zeigen, eine konkrete Gefährdung nahe lag. Y. (act. 5) sagte zudem klar aus, dass das Überholmanöver sehr knapp gewesen sei. Dies ergibt sich zudem auch aus dem Polizeirapport (vgl. PKG 2004 Nr. 14). Daran ändert nichts, dass tatsächlich niemand konkret gefährdet wurde. Damit hat X. den objektiven Tatbestand von Art. 90 Ziff. 2 SVG erfüllt. c) Subjektiv erfordert Art. 90 Ziff. 2 SVG ein rücksichtsloses oder sonst schwerwiegendes Verhalten, das heisst ein schweres Verschulden, bei fahrlässigem Handeln mindestens grobe Fahrlässigkeit. Der Berufungskläger folgte dem voranfahrenden Fahrzeug vorsätzlich in dem von ihm gewählten Abstand. Es ging ihm dabei offensichtlich darum, so rasch als möglich zu einem Überholmanöver anzusetzen, was sich jedoch in Anbetracht des grossen Verkehrsaufkommens als schwierig erwiesen hat, weshalb ein erster Versuch bereits einmal abgebrochen werden musste. Indem X. – trotz Gegenverkehr und grossem Verkehrsaufkommen - dann doch zum Überholmanöver angesetzt hat, hat er sich äusserst rücksichtslos verhalten. Sollte sich der Berufungskläger der allgemeinen Gefährlichkeit seiner gegen eine grundlegende Verkehrsregel verstossenden Fahrweise tatsächlich nicht bewusst gewesen sein, so ist jedenfalls das Nichtbedenken dieser allgemeinen Gefährlichkeit, die unter den gegebenen Umständen offensichtlich erkennbar war, als rücksichtslos und daher grob</w:t>
      </w:r>
    </w:p>
    <w:p>
      <w:r>
        <w:t>Seite 12 — 13 fahrlässig zu bewerten. Die Gefährdung der anderen Verkehrsteilnehmer beruht damit auf seinem bedenkenlosen Verhalten gegenüber fremden Rechtsgütern. Er erfüllt somit auch den subjektiven Tatbestand der groben Verkehrsregelverletzung von Art. 90 Ziff. 2 SVG. d) Zusammenfassend ergibt sich, dass X. aufgrund seiner Fahrweise die gesetzlich vorgeschriebenen Abstände zu anderen Verkehrsteilnehmern im Sinne von Art. 34 Abs. 4 SVG und Art. 12 Abs. 1 VRV nicht eingehalten hat und für sein Überholmanöver nicht über den dafür nötigen übersichtlichen und freien Raum im Sinne von Art. 35 Abs. 2 SVG und Art. 10 Abs. 2 VRV verfügte. Durch sein rücksichtsloses Verhalten hat er eine Gefährdung anderer Verkehrsteilnehmer geschaffen und ist damit im Sinne des vorinstanzlichen Urteils wegen einer groben Verkehrsregelverletzung im Sinne von Art. 90 Ziff. 2 SVG schuldig zu sprechen. Die Berufung erweist sich damit in diesem Punkt als unbegründet, weshalb sie abzuweisen ist. 6. X. beantragt in seiner Berufung an das Kantonsgericht Graubünden vom 12. April 2010, er sei mit einer Busse von Fr. 600.- zu bestrafen. Da X. im Sinne des vorinstanzlichen Urteils der groben Verkehrsregelverletzung im Sinne von Art. 90 Ziff. 2 SVG schuldig gesprochen wird, kann sowohl in Bezug auf die Strafzumessung als auch hinsichtlich der Ausführungen bezüglich der Gewährung des bedingten Strafvollzugs auf die zutreffenden und ausführlichen Erwägungen der Vorinstanz verwiesen werden. Diesen ist darüber hinaus nichts mehr beizufügen. Dem Kantonsgericht Graubünden erscheint eine Geldstrafe von 20 Tagessätzen à Fr. 620.- als durchaus angemessen. Die Gewährung des bedingten Strafvollzugs wurde von der Vorinstanz insbesondere aufgrund der einschlägigen Vorstrafen auf dem gleichen Gebiet zu Recht verweigert. 7. Im Ergebnis steht demzufolge fest, dass das angefochtene Urteil des Bezirksgerichtsausschusses Plessur sowohl in Bezug auf den Schuldspruch als auch hinsichtlich der Strafzumessung zu bestätigen ist. Die Rügen von X. erweisen sich mithin als unbegründet. Damit ist auch die vorinstanzliche Kostenregelung zu bestätigen. 8. Erweist sich das vorinstanzliche Urteil als rechtmässig und ist die Berufung von X. abzuweisen, so sind die Kosten des Berufungsverfahrens von Fr. 2’500.-- gestützt auf Art. 160 Abs. 1 StPO dem Berufungskläger aufzuerlegen.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