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2010 1 vom 9. April 2010</w:t>
      </w:r>
    </w:p>
    <w:p>
      <w:r>
        <w:t>GR Gerichte, 2010-04-09, DE</w:t>
      </w:r>
    </w:p>
    <w:p>
      <w:r>
        <w:rPr>
          <w:b/>
        </w:rPr>
        <w:t xml:space="preserve">Quelle: </w:t>
      </w:r>
      <w:r>
        <w:t>https://mcp.opencaselaw.ch/entscheid/gr_gerichte_SK1_2010_1</w:t>
      </w:r>
    </w:p>
    <w:p>
      <w:r>
        <w:t>FR: GR_GERICHTE SK1 2010 1 du 9 avril 2010</w:t>
      </w:r>
    </w:p>
    <w:p>
      <w:r>
        <w:t>IT: GR_GERICHTE SK1 2010 1 del 9 aprile 2010</w:t>
      </w:r>
    </w:p>
    <w:p>
      <w:pPr>
        <w:pStyle w:val="Heading2"/>
      </w:pPr>
      <w:r>
        <w:t>Regeste</w:t>
      </w:r>
    </w:p>
    <w:p>
      <w:r>
        <w:t>Raufhandel | StGB 111-136 Leib und Leben</w:t>
      </w:r>
    </w:p>
    <w:p>
      <w:pPr>
        <w:pStyle w:val="Heading2"/>
      </w:pPr>
      <w:r>
        <w:t>Erwägungen</w:t>
      </w:r>
    </w:p>
    <w:p>
      <w:r>
        <w:rPr>
          <w:b/>
        </w:rPr>
        <w:t>E. 2</w:t>
      </w:r>
    </w:p>
    <w:p>
      <w:r>
        <w:t>Dafür wird X. mit einer Geldstrafe von 20 Tagessätzen à CHF 70.00 und einer Busse von CHF 400.00 bestraft.</w:t>
      </w:r>
    </w:p>
    <w:p>
      <w:r>
        <w:rPr>
          <w:b/>
        </w:rPr>
        <w:t>E. 3</w:t>
      </w:r>
    </w:p>
    <w:p>
      <w:r>
        <w:t>Der Vollzug der Geldstrafe wird unter Ansetzung einer Probezeit von zwei Jahren aufgeschoben.</w:t>
      </w:r>
    </w:p>
    <w:p>
      <w:r>
        <w:rPr>
          <w:b/>
        </w:rPr>
        <w:t>E. 4</w:t>
      </w:r>
    </w:p>
    <w:p>
      <w:r>
        <w:t>Die Ersatzfreiheitsstrafe für die Busse beträgt fünf Tage. Sie tritt an die Stelle der Busse, soweit diese nicht bezahlt wird.</w:t>
      </w:r>
    </w:p>
    <w:p>
      <w:r>
        <w:rPr>
          <w:b/>
        </w:rPr>
        <w:t>E. 5</w:t>
      </w:r>
    </w:p>
    <w:p>
      <w:r>
        <w:t>Die Kosten des Verfahrens von CHF 3'975.00 (Untersuchungskosten der Staatsanwaltschaft Graubünden von CHF 1'975.00, Gerichtskos- ten von CHF 2'000.00) gehen zu Lasten von X.. X. schuldet dem Bezirksgericht I. folglich Total CHF 4'375.00 (Busse von CHF 400.00, Verfahrenskosten von CHF 3'975.00). Dieser Be- trag ist innert 30 Tagen seit Zustellung des Urteils auf das PC-Konto 70-3596-3 des Bezirksgerichtes I. zu überweisen.</w:t>
      </w:r>
    </w:p>
    <w:p>
      <w:r>
        <w:t>Seite 4 — 23</w:t>
      </w:r>
    </w:p>
    <w:p>
      <w:r>
        <w:rPr>
          <w:b/>
        </w:rPr>
        <w:t>E. 6</w:t>
      </w:r>
    </w:p>
    <w:p>
      <w:r>
        <w:t>(Rechtsmittelbelehrung)</w:t>
      </w:r>
    </w:p>
    <w:p>
      <w:r>
        <w:rPr>
          <w:b/>
        </w:rPr>
        <w:t>E. 7</w:t>
      </w:r>
    </w:p>
    <w:p>
      <w:r>
        <w:t>a) Bei diesem Strafmass ist zu prüfen, ob dem Täter der bedingte Strafvollzug gewährt werden kann. In objektiver Hinsicht setzt der Aufschub des Strafvollzuges einzig voraus, dass der Täter zu einer Freiheitsstrafe von mindestens sechs Mo- naten und höchstens zwei Jahren, einer Geldstrafe oder gemeinnütziger Arbeit verurteilt wird (Art. 42 Abs. 1 StGB). In subjektiver Hinsicht hat das Gericht eine Prognose über das zukünftige Verhalten des Täters zu stellen. Dabei ist eine Ge- samtwürdigung aller wesentlichen Umstände vorzunehmen. In die Beurteilung mit einzubeziehen sind die Tatumstände, das Vorleben, der Leumund sowie alle wei- teren Tatsachen, die gültige Schlüsse auf den Charakter des Täters und die Aus- sichten der Bewährung zulassen. Für die Einschränkung des Rückfallrisikos ist ein Gesamtbild der Täterpersönlichkeit unerlässlich (BGE 134 IV 1 E. 4.2.1). Während früher eine günstige Prognose erforderlich war, genügt nach neuem Recht das Fehlen einer ungünstigen Prognose. Es genügt somit die Abwesenheit der Be- fürchtung, dass der Täter sich nicht bewähren wird (Art. 42 Abs. 1 StGB; Botschaft 1998, S. 2049; BGE 134 IV 1 E. 4.2.2 und 134 IV 97 E. 7.3). b) Der Berufungskläger wird wie dargelegt zu einer Geldstrafe von 20 Tages- sätzen à Fr. 70.-- verurteilt, weshalb einer Gewährung des bedingten Strafvollzu- ges zumindest in objektiver Hinsicht nichts entgegensteht. Zu prüfen ist jedoch, ob in subjektiver Hinsicht keine ungünstige Prognose vorliegt. Beim Berufungskläger ist insgesamt nicht von einer ungünstigen Prognose auszugehen. Er hatte sich bis anhin stets wohlverhalten, verfügt über einen guten Leumund und ist nicht vorbe- straft. Es kann aufgrund der vorliegenden Tatumstände davon ausgegangen wer- den, dass sich eine unbedingte Strafe nicht als notwendig erweist, um den Beru- fungskläger von der Begehung weiterer Verbrechen oder Vergehen abzuhalten. Vielmehr ist das Gericht zur Überzeugung gelangt, dass eine bedingt ausgespro- chene Geldstrafe sowie das Strafverfahren an sich eine genügende Warnwirkung auf diesen ausüben und er sich in Zukunft wohlverhalten wird. Damit ist auch das</w:t>
      </w:r>
    </w:p>
    <w:p>
      <w:r>
        <w:t>Seite 21 — 23 subjektive Erfordernis erfüllt und der bedingte Strafvollzug zu gewähren. Unter Berücksichtigung der Umstände des Einzelfalles erweist sich vorliegend eine Pro- bezeit von zwei Jahren als angemessen (Art. 44 Abs. 1 StGB).</w:t>
      </w:r>
    </w:p>
    <w:p>
      <w:r>
        <w:rPr>
          <w:b/>
        </w:rPr>
        <w:t>E. 8</w:t>
      </w:r>
    </w:p>
    <w:p>
      <w:r>
        <w:t>a) Unter diesen Umständen stellt sich die Frage nach der Anwendung von Art. 42 Abs. 4 StGB. Diese Bestimmung erlaubt es, eine bedingte Geldstrafe mit einer unbedingten Geldstrafe oder einer Busse nach Art. 106 StGB zu verbinden. Verbindungsstrafen kommen insbesondere in Betracht, wenn dem Täter der be- dingte Vollzug einer Geld- oder Freiheitsstrafe gewährt, ihm aber dennoch in ge- wissen Fällen mit der Auferlegung einer zu bezahlenden Geldstrafe oder Busse ein spürbarer Denkzettel erteilt werden soll. Die Strafenkombination dient hier spezialpräventiven Zwecken. Zudem zu berücksichtigen gilt es, dass der Verbin- dungsgeldstrafe bzw. –busse nur untergeordnete Bedeutung zukommt und das Hauptgewicht auf der bedingten Freiheits- oder Geldstrafe liegt. Sie soll weder zu einer Straferhöhung führen, noch eine zusätzliche Strafe ermöglichen. Anderer- seits soll ihr aber auch nicht nur eine symbolische Bedeutung zukommen (vgl. zum Ganzen BGE 134 IV 1 ff.; 134 IV 60 E. 7.3; 135 IV 188 E. 3.3). Nach Art. 106 Abs. 3 StGB bemisst das Gericht die Busse zudem nach den Verhältnissen des Täters so, dass dieser die Strafe erleidet, die seinem Verschulden angemessen ist (BGE 134 IV 76 E. 7.3.3). Die Vorinstanz hat im vorliegenden Fall gestützt auf Art. 42 Abs. 4 StGB eine Busse von Fr. 400.-- ausgesprochen. Es erscheint vor- liegend aus spezialpräventiven Gründen als sinnvoll, zusätzlich zur bedingten Geldstrafe eine Busse auszusprechen. Der Betrag von Fr. 400.-- erweist sich zu- dem unter Einbezug der genannten Kriterien – insbesondere auch der wirtschaftli- chen Leistungsfähigkeit des Berufungsklägers - als angemessen und ist nicht zu beanstanden. b) Die Vorinstanz hat für die von ihr ausgesprochene Busse von Fr. 400.-- ei- ne Ersatzfreiheitsstrafe von fünf Tagen verhängt. Das Gericht hat gemäss Art. 106 Abs. 2 StGB für eine ausgesprochene Busse eine Ersatzfreiheitsstrafe von min- destens einem Tag und höchstens drei Monaten festzulegen. Ist eine Ersatzfrei- heitsstrafe für eine Verbindungsbusse im Sinne von Art. 42 Abs. 4 StGB festzule- gen, besteht die Besonderheit, dass das Gericht sich mit der wirtschaftlichen Leis- tungsfähigkeit des Täters bei der Bestimmung des Tagessatzes bereits befasst hat. Dies lässt es als sachgerecht erscheinen, die Tagessatzhöhe als Umrech- nungsschlüssel zu verwenden, indem der Betrag der Verbindungsstrafe durch den Tagessatz dividiert wird (BGE 134 IV 60 E. 7.7.3). Wird diese Umrechnung nun im vorliegenden Fall vorgenommen, ergibt dies für die ausgesprochene Busse von</w:t>
      </w:r>
    </w:p>
    <w:p>
      <w:r>
        <w:t>Seite 22 — 23 Fr. 400.-- unter Berücksichtigung der Tagessatzhöhe von Fr. 70.-- eine Ersatzfrei- heitsstrafe von abgerundet 5 Tagen, womit der vorinstanzliche Urteilsspruch auch diesbezüglich nicht zu beanstanden ist.</w:t>
      </w:r>
    </w:p>
    <w:p>
      <w:r>
        <w:rPr>
          <w:b/>
        </w:rPr>
        <w:t>E. 9</w:t>
      </w:r>
    </w:p>
    <w:p>
      <w:r>
        <w:t>Das vorinstanzliche Urteil erweist sich damit als rechtmässig und die Beru- fung ist abzuweisen. Es hat daher auch beim vorinstanzlichen Kostenspruch zu bleiben (vgl. Art. 158 StPO). Die Kosten des Berufungsverfahrens sind bei diesem Ausgang des Verfahrens gemäss Art. 160 Abs. 1 StPO vollumfänglich dem Beru- fungskläger aufzuerlegen.</w:t>
      </w:r>
    </w:p>
    <w:p>
      <w:r>
        <w:t>Seite 23 — 23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