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2007 12 vom 25. Februar 2008</w:t>
      </w:r>
    </w:p>
    <w:p>
      <w:r>
        <w:t>GR Gerichte, 2008-02-25, DE</w:t>
      </w:r>
    </w:p>
    <w:p>
      <w:r>
        <w:rPr>
          <w:b/>
        </w:rPr>
        <w:t xml:space="preserve">Quelle: </w:t>
      </w:r>
      <w:r>
        <w:t>https://mcp.opencaselaw.ch/entscheid/gr_gerichte_SF_2007_12</w:t>
      </w:r>
    </w:p>
    <w:p>
      <w:r>
        <w:t>FR: GR_GERICHTE SF 2007 12 du 25 février 2008</w:t>
      </w:r>
    </w:p>
    <w:p>
      <w:r>
        <w:t>IT: GR_GERICHTE SF 2007 12 del 25 febbraio 2008</w:t>
      </w:r>
    </w:p>
    <w:p>
      <w:pPr>
        <w:pStyle w:val="Heading2"/>
      </w:pPr>
      <w:r>
        <w:t>Regeste</w:t>
      </w:r>
    </w:p>
    <w:p>
      <w:r>
        <w:t>versuchte vorsätzliche Tötung (Genugtuung nach Art. 161 StPO) | SF Übrige Fälle</w:t>
      </w:r>
    </w:p>
    <w:p>
      <w:pPr>
        <w:pStyle w:val="Heading2"/>
      </w:pPr>
      <w:r>
        <w:t>Erwägungen</w:t>
      </w:r>
    </w:p>
    <w:p>
      <w:r>
        <w:rPr>
          <w:b/>
        </w:rPr>
        <w:t>E. 1</w:t>
      </w:r>
    </w:p>
    <w:p>
      <w:r>
        <w:t>Gemäss Art. 161 Abs. 2 der kantonalen Strafprozessordnung (StPO; BR 350.000) entscheidet jene Instanz über Entschädigungsbegehren, bei der das Verfahren zuletzt anhängig war. Das Verfahren, für das A. eine Genugtuung ver- langt, fand mit dem Urteil der Strafkammer des Kantonsgerichts von Graubünden vom 9. Oktober 2007, mitgeteilt am 24. Oktober 2007, seinen Abschluss. Demzu- folge ist die Strafkammer auch zur Behandlung des vorliegenden Entschädigungs- gesuchs zuständig.</w:t>
      </w:r>
    </w:p>
    <w:p>
      <w:r>
        <w:rPr>
          <w:b/>
        </w:rPr>
        <w:t>E. 2</w:t>
      </w:r>
    </w:p>
    <w:p>
      <w:r>
        <w:t>Grundlage für die Ausrichtung einer Genugtuung bildet Art. 161 Abs. 1 StPO. Danach ist der angeschuldigten Person im Sinne einer Kausalhaftung des Staates nicht nur bei Freispruch oder Einstellung des Verfahrens, sondern auch dann, wenn sich eine ihr gegenüber durchgeführte Zwangsmassnahme als unge- rechtfertigt erweist, auf ihr Begehren eine Entschädigung (Schadenersatz und/oder Genugtuung) für Nachteile zuzusprechen, die sie dadurch erlitten hat. Vorausset- zung des Entschädigungsanspruchs ist immer ein ungerechtfertigtes Handeln der Strafverfolgungsbehörde, das zu einem spürbaren Nachteil, das heisst zu einer Schädigung von einer gewissen Schwere, geführt hat. Bei Überhaft handelt es sich um ungerechtfertigte Haft, d.h. um Haft, die unter Beachtung der gesetzlichen For- men und Verfahrensvorschriften angeordnet wurde, die sich aber im Nachhinein tatsächlich als ungerechtfertigt erweist (BGE 64 I 141 E. 2.). Diese ist grundsätzlich finanziell zu entschädigen. Unerlässlich ist jedoch, dass ein entsprechendes Begehren gestellt wird, worin die ansprechende Person den Kausalzusammenhang zwischen Untersu- chungshandlung und erlittenem Nachteil sowie die Höhe der Entschädigung (Scha- denersatz, Genugtuung) nachweist (Willy Padrutt, Kommentar zur Strafprozessord- nung des Kantons Graubünden, 2. Aufl. 1996, Art. 161 StPO, N 1.3, 1.7).</w:t>
      </w:r>
    </w:p>
    <w:p>
      <w:r>
        <w:rPr>
          <w:b/>
        </w:rPr>
        <w:t>E. 3</w:t>
      </w:r>
    </w:p>
    <w:p>
      <w:r>
        <w:t>Im vorliegenden Fall verlangt die Gesuchstellerin gestützt auf Art. 161 Abs. 1 StPO die Zusprechung einer Genugtuung in Höhe von Fr. 14'000.-- für eine erlittene Überhaft von 70 Tagen. Zunächst ist zu prüfen, ob überhaupt eine Überhaft</w:t>
      </w:r>
    </w:p>
    <w:p>
      <w:r>
        <w:rPr>
          <w:b/>
        </w:rPr>
        <w:t>E. 5</w:t>
      </w:r>
    </w:p>
    <w:p>
      <w:r>
        <w:t>im Rechtssinne, als Voraussetzung für die Zusprechung einer staatlichen Entschä- digung, vorliegt. a) In einem ersten Schritt ist die anrechenbare Freiheitsentziehung zu bestimmen. Ohne jede Einschränkung als Strafvollstreckung anzurechnen ist neben der ausgestandenen Untersuchungshaft gemäss Art. 51 Satz 1 des Strafgesetzbu- ches (StGB; SR 311.0) auch der vorzeitig angetretene Strafvollzug nach Art. 75 Abs. 2 StGB (Günter Stratenwerth, Schweizerisches Strafrecht, Allgemeiner Teil II: Stra- fen und Massnahmen, Bern 2006, § 6 N 109 ff., 117; Christoph Mettler, in: Niggli/Wi- prächtiger, Basler Kommentar, Strafrecht I, 2. Aufl., Basel 2007, N 28 ff. zu Art. 51 StGB). Im vorliegenden Fall beträgt der anrechenbare Freiheitsentzug somit insge- samt 624 Tage (74 Tage Untersuchungshaft und 550 Tage vorzeitiger Strafantritt). b) Sodann stellt sich die Frage des Anrechnungsobjekts. In diesem Zu- sammenhang ist insbesondere zu beurteilen, ob die der Verurteilten entzogene Frei- heit der gesamten Freiheitsstrafe von 3 Jahren oder nur deren unbedingt ausge- sprochenen Teil von 18 Monaten anzurechnen ist. Vorab ist festzuhalten, dass die Untersuchungshaft und der vorzeitige Strafantritt nach denselben Grundsätzen zu behandeln sind (BGE 133 I 270, 277; Matthias Härri, Zur Problematik des vorzeiti- gen Strafantritts, Bern 1987, S. 144 f.). Dem Art. 51 Satz 1 StGB, der die Anrech- nung der Untersuchungshaft regelt, lässt sich nicht entnehmen, ob die ausgestan- dene Untersuchungshaft bei einer teilbedingten Strafe der gesamten Freiheitsstrafe oder nur dem unbedingt ausgesprochenen Teil anzurechnen ist. Nach ständiger bundesgerichtlicher Rechtsprechung ist es jedoch für die Anrechung der entzoge- nen Freiheit unerheblich, ob die Freiheitsstrafe bedingt oder unbedingt ausgespro- chen wurde (BGE 133 I 270, 281 f.; 125 I 60, 64; 124 I 208, 215; Mettler, a.a.O., N 39 zu Art. 51 StGB). Dass mit der Revision des Allgemeinen Teils des Strafgesetz- buches (in Kraft seit dem 1. Januar 2007) das Institut des teilbedingten Strafvollzugs als Mittellösung zwischen dem vollständigen Aufschub der Strafe und deren Vollzug eingeführt wurde, gibt keinen Anlass, von der bisherigen Rechtsprechung abzuwei- chen. Demnach ist auch bei teilbedingten Freiheitsstrafen der Untersuchungshaft oder dem vorzeitigen Strafantritt im Rahmen sowohl der unbedingt als auch bedingt vollziehbaren Freiheitsstrafe Rechnung zu tragen. Ragt die Untersuchungshaft und/oder der vorzeitige Strafantritt zeitlich in den Bereich des bedingten Strafvoll- zugs hinein, ist dies folglich nicht als Überhaft zu qualifizieren. Im konkreten Fall ist die entzogene Freiheit somit der gesamten Freiheitsstrafe von 3 Jahren anzurech- nen.</w:t>
      </w:r>
    </w:p>
    <w:p>
      <w:r>
        <w:rPr>
          <w:b/>
        </w:rPr>
        <w:t>E. 6</w:t>
      </w:r>
    </w:p>
    <w:p>
      <w:r>
        <w:t>Weiter kommt in Anlehnung an die bundesgerichtliche Rechtsprechung auch die in einem früheren Urteil bedingt ausgefällte und nunmehr widerrufene Freiheits- strafe von 14 Tagen als Anrechnungsobjekt in Betracht (BGE 130 IV 150 E. 5; Stra- tenwerth, a.a.O, § 6 N 109 ff.; Martin Schubarth, Anrechnung von Untersuchungs- haft auf eine ausgesprochene Strafe oder Entschädigung für ungerechtfertigte Un- tersuchungshaft, ZSTR 1998, 112 f.). c) Nach dem Gesagten übersteigt die Dauer des erlittenen Freiheitsent- zugs (624 Tage) im vorliegenden Fall die Strafdauer – die ausgesprochene Frei- heitsstrafe von 3 Jahren zuzüglich der widerrufenen Freiheitsstrafe von 14 Tagen – bei weitem nicht. Steht demnach fest, dass keine Überhaft vorliegt, so ist von vorn- herein auch die Entschädigungspflicht des Kantons Graubünden gestützt auf Art. 161 Abs. 1 StPO zu verneinen. Das Genugtuungsgesuch ist folglich abzuweisen. 4. Lediglich ergänzend sei noch darauf hingewiesen, dass die ange- schuldigte Person insbesondere angesichts der Dauer der Erstellung des Obergut- achtens und ihrer Anträge zum Strafmass ohne weiteres ein Gesuch um Entlassung aus dem vorzeitigen Strafvollzug hätte stellen können oder müssen (BGE 117 Ia 257, 260; Benjamin F. Brägger, in: Niggli/Wiprächtiger, Basler Kommentar, Straf- recht I, 2. Aufl., Basel 2007, N 14 ff. zu Art. 75 StGB; Markus Hug, in: Donatsch, Schweizerisches Strafgesetzbuch, Ausgabe 2006, Anm. zu Art. 75 Abs. 2 StGB), um dem Risiko einer allfälligen übermässigen Haftdauer zu entgehen. Insofern wäre ihr ein erhebliches Selbstverschulden zur Last zu legen. Für dieses Versäumnis hätte ohnehin nicht der Staat einzustehen. 5. Für dieses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