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10 vom 26. März 2004</w:t>
      </w:r>
    </w:p>
    <w:p>
      <w:r>
        <w:t>GR Gerichte, 2004-03-26, DE</w:t>
      </w:r>
    </w:p>
    <w:p>
      <w:r>
        <w:rPr>
          <w:b/>
        </w:rPr>
        <w:t xml:space="preserve">Quelle: </w:t>
      </w:r>
      <w:r>
        <w:t>https://mcp.opencaselaw.ch/entscheid/gr_gerichte_SF_2004_10</w:t>
      </w:r>
    </w:p>
    <w:p>
      <w:r>
        <w:t>FR: GR_GERICHTE SF 2004 10 du 26 mars 2004</w:t>
      </w:r>
    </w:p>
    <w:p>
      <w:r>
        <w:t>IT: GR_GERICHTE SF 2004 10 del 26 marzo 2004</w:t>
      </w:r>
    </w:p>
    <w:p>
      <w:pPr>
        <w:pStyle w:val="Heading2"/>
      </w:pPr>
      <w:r>
        <w:t>Regeste</w:t>
      </w:r>
    </w:p>
    <w:p>
      <w:r>
        <w:t>Aufhebung der Arbeitserziehung/Festsetzung der Strafe</w:t>
      </w:r>
    </w:p>
    <w:p>
      <w:pPr>
        <w:pStyle w:val="Heading2"/>
      </w:pPr>
      <w:r>
        <w:t>Erwägungen</w:t>
      </w:r>
    </w:p>
    <w:p>
      <w:r>
        <w:rPr>
          <w:b/>
        </w:rPr>
        <w:t>E. 1</w:t>
      </w:r>
    </w:p>
    <w:p>
      <w:r>
        <w:t>A. wurde mit Urteil vom 17. Juni 2002, mitgeteilt am 4. Juli 2002, ge- stützt auf Art. 100bis StGB in eine Arbeitserziehungsanstalt eingewiesen. Die Ein- weisung in die Arbeitserziehungsanstalt Kalchrain war mit dem Schuldspruch we- gen falscher Anschuldigung gemäss Art. 303 Ziff. 1 Abs. 1 StGB, mehrfachen Dieb- stahls gemäss Art. 139 Ziff. 1 StGB, mehrfachen unvollendeten Diebstahlversuchs gemäss Art. 139 Ziff. 1 StGB in Verbindung mit Art. 21 Abs. 1 StGB, mehrfacher Sachbeschädigung gemäss Art. 144 Abs. 1 StGB, mehrfachen Hausfriedensbruchs gemäss Art. 186 StGB, Erpressung gemäss Art. 156 Ziff. 1 StGB, vollendeten Er- pressungsversuchs gemäss Art. 156 Ziff. 1 StGB in Verbindung mit Art. 22 Abs. 1 StGB sowie Anstiftung dazu gemäss Art. 156 Ziff. 1 StGB in Verbindung mit Art. 22</w:t>
      </w:r>
    </w:p>
    <w:p>
      <w:r>
        <w:t>12 Abs. 1 und Art. 24 Abs. 1 StGB, mehrfachen Betrugs gemäss Art. 146 Abs. 1 StGB und Anstiftung zu betrügerischem Missbrauch einer Datenverarbeitungsanlage gemäss Art. 147 Abs. 1 StGB in Verbindung mit Art. 24 Abs. 1 StGB verbunden. Die Arbeitserziehung ist monistisch ausgestaltet; der Richter ordnet einzig die Mass- nahme an, spricht jedoch keine Strafe aus. Die Arbeitserziehung wird mithin anstelle einer Strafe ausgesprochen (vgl. Trechsel, Schweizerisches Strafgesetzbuch, Kurz- kommentar, 2. Auflage, W. 1997, N 3 zu Art. 100bis StGB). Erweist sich in Anwen- dung von Art. 100ter Ziff. 4 StGB die Massnahme als nicht durchführbar, hat der Richter über die Aufhebung der Massnahme zu befinden. Gleichzeitig hat er zu ent- scheiden, ob eine Strafe auszusprechen oder eine andere Massnahme anzuordnen ist.</w:t>
      </w:r>
    </w:p>
    <w:p>
      <w:r>
        <w:rPr>
          <w:b/>
        </w:rPr>
        <w:t>E. 2</w:t>
      </w:r>
    </w:p>
    <w:p>
      <w:r>
        <w:t>Die Arbeitserziehung ist eine Massnahme, die eine Fehlentwicklung von jungen Erwachsenen durch Erziehung zur Arbeit und charakterliche Festigung berichtigen und damit künftigen Straftaten vorbeugen will. Als Höchstdauer sind grundsätzlich drei Jahre vorgesehen, wobei eine Verlängerung der Massnahme um ein weiteres Jahr möglich ist (Art. 100ter Ziff. 1 Abs. 4 StGB). Die Massnahme kann jedoch aufgehoben werden, wenn sie ihren spezialpräventiven Zweck erreicht hat oder sich herausstellt, dass sie ihn nicht erreichen wird und somit zwecklos gewor- den ist. Art. 100ter Ziff. 4 Abs. 2 StGB regelt diese ausserordentlichen Fälle der Auf- hebung der Arbeitserziehung. Dem Richter wird damit die Möglichkeit eingeräumt, eine erfolglose Massnahme bereits vor Ablauf von drei Jahren aufzuheben. Nach Ansicht des Bundesgerichts (BGE 100 IV 205) muss dabei „ein zwingender Grund vorliegen, der dem Richter im Hinblick auf den spezialpräventiven Zweck der Ar- beitserziehung vernünftigerweise keine andere Wahl lässt, als dieselbe vorzeitig ab- zubrechen.“ Einen solchen Grund sieht das Bundesgericht allerdings noch nicht im Widerstand gegen die Massnahme an sich bei sonst gutem Arbeitsverhalten, son- dern allenfalls bei Invalidität oder Wegfall jeglicher Erfolgsaussicht (vgl. zum Gan- zen Basler Kommentar, Strafgesetzbuch I, Basel 2003, Art. 100ter RN 9). Im vorliegenden Fall hat das Justiz-, Polizei- und Sanitätsdepartement Graubünden den Vollzug der Arbeitserziehungsmassnahme gemäss Art. 100bis StGB mit Verfügung vom 8. März 2004 eingestellt. Dabei stützte es sich zum einen auf das Gesuch A.s um Aufhebung der Massnahme vom 29. Januar 2004 und zum anderen auf den Bericht der Schutzaufsicht Graubünden vom 2. März 2004. Darin wurde dargelegt, dass sich der Vollzug der Massnahme in der Arbeitserziehungs- anstalt als schwierig gestaltet habe. A. sei seit seinem Eintritt am 7. Oktober 2002 bereits dreimal entwichen. Auch habe er sich beharrlich gegen die Massnahme und</w:t>
      </w:r>
    </w:p>
    <w:p>
      <w:r>
        <w:t>13 die daraus resultierenden Chancen verweigert. Dieser Widerstand verunmögliche den weiteren Vollzug der Massnahme, da A. im Falle einer Aufrechterhaltung der Massnahme zwangsläufig mit Flucht reagieren würde. Gestützt auf diese Aus- führungen gelangte das Justiz- Polizei- und Sanitätsdepartement Graubünden zum Schluss, dass die Arbeitserziehungsmassnahme als gescheitert zu erklären sei. In- folge des erfolglosen Massnahmevollzuges sei A. nach der letzten Entweichung und Festnahme in der Strafanstalt Realta untergebracht worden, wo er sich gut integrie- ren konnte. Auch A. selbst äusserte den Wunsch, den Rest seiner Strafe in der Strafanstalt Realta verbüssen zu wollen. Zusammenfassend kann daher festgehalten werden, dass die Weiterführung beziehungsweise Wiederaufnahme der Massnahme unter den gegebenen Umstän- den keinen Sinn mehr macht. Die Arbeitserziehungsmassnahme ist daher aufgrund von Erfolglosigkeit aufzuheben und in eine Haftstrafe umzuwandeln. Von der An- ordnung einer anderen Massnahme wird, gestützt auf das Gutachten der Psychia- trischen Klinik Waldhaus vom 26. Oktober 2001, abgesehen. Damit wird dem Antrag A.s sowie des zuständigen Departements vollumfänglich entsprochen.</w:t>
      </w:r>
    </w:p>
    <w:p>
      <w:r>
        <w:rPr>
          <w:b/>
        </w:rPr>
        <w:t>E. 3</w:t>
      </w:r>
    </w:p>
    <w:p>
      <w:r>
        <w:t>Wird die Massnahme wegen Zwecklosigkeit aufgehoben und entsch- liesst sich der Richter zu einer nachträglichen Bestrafung, so ist das Strafmass nach der Praxis des Kantonsgerichts von Graubünden aufgrund der Verhältnisse zum Zeitpunkt der Anordnung der Arbeitserziehung zu bestimmen (vgl. PKG 1984 Nr. 12). Massgebend ist im vorliegenden Fall somit der Zeitpunkt des Urteils vom 17. Juni 2002. a) Bei der Strafzumessung hat der Richter gemäss Art. 63 StGB vom Verschulden des Täters auszugehen und insbesondere die Beweggründe, das Vor- leben und die persönlichen Verhältnisse zu berücksichtigen. In BGE 117 IV 112 ff. hat das Bundesgericht grundsätzliche Bemerkungen zur Frage der Strafzumessung angebracht. Demnach muss sich der Begriff des Verschuldens auf den gesamten Unrechts- und Schuldgehalt der konkreten Straftat beziehen. Bei der Tatkompo- nente sind insbesondere das Ausmass des verschuldeten Erfolgs, die Art und Weise seiner Herbeiführung, die Willensrichtung, mit welcher der Täter gehandelt hat, und die Beweggründe gemäss Art. 63 StGB zu beachten. Die Täterkomponente erfasst demgegenüber das Vorleben, insbesondere auch allfällige Vorstrafen, die persönlichen Verhältnisse, das Verhalten nach der Tat und im Strafverfahren, wie zum Beispiel Reue, Einsicht oder Strafempfindlichkeit (vgl. auch BGE 118 IV 14,</w:t>
      </w:r>
    </w:p>
    <w:p>
      <w:r>
        <w:t>14 BGE 124 IV 44 f.). Innerhalb des gesetzlichen Strafrahmens ist ohne Bindung an feste Regeln die verschuldensgerechte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angeordneten Strafe nicht um mehr als die Hälfte überschreiten und ist dabei zudem an das gesetzliche Höchstmass der Strafart gebunden. Schwerste Tat ist diejenige, welche unter den mit der höchsten Strafe bedrohten Tatbestand fällt. Grundlage für die Strafzumes- sung ist daher im vorliegenden Fall bildet der für die falsche Anschuldigung gemäss Art. 303 Ziff. 1 Abs. 1 StGB vorgesehene Strafrahmen, der von 3 Tagen Gefängnis bis zu Zuchthaus in der Höhe von 20 Jahren reicht. Das Tatverschulden von A. wiegt schwer. Er hat trotz einschlägiger Vorstra- fen eine ganze Reihe verschiedenartiger Delikte verübt. Als besonders gravierend erscheint dabei der Umstand, dass er sowohl in der Auswahl seiner Opfer als auch in der Ausführung der einzelnen Tathandlungen äusserst unverfroren und rück- sichtslos vorging. So scheute er sich nicht davor, seine damalige Freundin U. mit einem angeblich über sie gedrehten Pornofilm zu erpressen und sie zu bewegen, auf den Strassenstrich zu gehen. Auch der Umstand, dass A. das geistige Handicap seines Freundes T. ausnützte, um Bargeld zu beschaffen, zeigt seine gewissenlose Vorgehensweise. Ausserdem ist zu berücksichtigen, dass A. innert kürzester Zeit- spanne mehrere schwere Delikte verübt hat, was auf eine doch erhebliche kriminelle Intensität schliessen lässt. Gerade die Tatbestände der falschen Anschuldigung, der Erpressung und des Betruges können nicht mehr als „Kleinkriminalität“ qualifi- ziert werden. Ausgehend von einem schweren Verschulden fällt bei A. zudem straf- schärfend das Zusammentreffen mehrerer strafbarer Handlungen (Art. 68 StGB) so- wie die mehrfache Tatbegehung ins Gewicht. Straferhöhend sind die - teilweise ein- schlägigen - Vorstrafen zu berücksichtigen. Ebenso muss das Delinquieren während der Probezeit straferhöhend gewertet werden. Strafmindernd kann ihm das Geständnis und sein im Zeitpunkt der Delikte noch jugendlichen Alter zugute gehalten werden. Strafmilderungsgründe liegen keine vor. In Würdigung sämtlicher Strafzumessungsgründe erscheint es als angemes- sen und gerechtfertigt, A. eine Gefängnisstrafe von 18 Monaten aufzuerlegen. Die bereits erstandene Untersuchungshaft von neun Tagen wird an die Strafe ange- rechnet.</w:t>
      </w:r>
    </w:p>
    <w:p>
      <w:r>
        <w:t>15</w:t>
      </w:r>
    </w:p>
    <w:p>
      <w:r>
        <w:rPr>
          <w:b/>
        </w:rPr>
        <w:t>E. 4</w:t>
      </w:r>
    </w:p>
    <w:p>
      <w:r>
        <w:t>Vom 7. Oktober 2002 bis zum 1. Januar 2003, vom 17. Januar 2003 bis zum 26. Februar 2003 und vom 22. Mai 2003 bis zum 28. Mai 2003 hielt sich A. in der Arbeitserziehungsanstalt Kalchrain auf. Seit dem 20. Januar 2004 befindet er sich in der Strafanstalt Realta im offenen Strafvollzug. Es stellt sich nun die Frage, ob der Aufenthalt in der Arbeitserziehungsanstalt an den nachträglichen Strafvoll- zug angerechnet werden kann. Das Bundesgericht hat in Zusammenhang mit Art. 44 Ziff. 3 StGB und Art. 69 StGB entschieden, dass die Dauer der freiheitsentziehenden Massnahme in der Re- gel auf die zu verbüssende Freiheitsstrafe anzurechnen ist. Denn das Scheitern ei- ner Massnahme allein soll nicht dazu führen, dass der Verurteilte einen schwereren Eingriff in sein Leben zu dulden hat, als dies bei einer blossen Verhängung einer Freiheitsstrafe gewesen wäre (vgl. BGE 121 IV 303, BGE 120 IV 176). Allerdings braucht die anrechenbare Dauer nicht mit der Massnahmedauer übereinzustimmen. Bei der Bestimmung der grundsätzlich anrechenbaren Dauer ist nämlich mitzu- berücksichtigen, in welchem Grad die persönliche Freiheit während des Massnah- mevollzugs im Vergleich zum Freiheitsentzug in einer Strafanstalt eingeschränkt war. Ist der Massnahmevollzug in einer bestimmten Anstalt dem Strafvollzug in die- ser Hinsicht ungefähr gleichzusetzen, so ist grundsätzlich die ganze Dauer der Massnahme anrechenbar. Wird die Massnahme hingegen in einer Anstalt vollzo- gen, welche die persönliche Freiheit wesentlich weniger beschränkt, kann nur eine entsprechend gekürzte Dauer zur Anrechnung gelangen. Bei der Beurteilung dieser Frage ist auf verschiedene Kriterien abzustellen, welche vom Bundesgericht festge- legt wurden und gemäss Praxis des Kantonsgerichts von Graubünden auch für den Fall der Massnahmeaufhebung nach Art. 100ter Ziff. 4 StGB anwendbar sind. So ist entsprechend zu berücksichtigen, inwieweit die Massnahme die persönliche Frei- heit des Betroffenenen, beziehungsweise sein Recht, sich frei zu bewegen, sich aufzuhalten und zu wohnen, wo er will, beeinträchtigt wird. Beurteilt man den Auf- enthalt in der Arbeitserziehungsanstalt Kalchrain unter diesen Gesichtspunkten, so stellt man fest, dass die persönliche Freiheit von A. während der Massnahme wohl etwas weniger stark beschränkt war als im Strafvollzug. Nach Ansicht des Kantons- gerichts ist das Ausmass der Unterschiede im vorliegenden Fall jedoch nicht derart, dass es eine Kürzung der Massnahmedauer rechtfertigen würde. Vielmehr ist nach dem Gesagten der ganze Aufenthalt in der Arbeitserziehungsanstalt Kalchrain an den Strafvollzug anzurechnen. Den ebenfalls anrechenbaren Aufenthalt in der Straf- anstalt Realta miteingeschlossen hat sich A. insgesamt 206 Tagen im Vollzug be- funden, welche an die ausgefällte Strafe anzurechnen sind.</w:t>
      </w:r>
    </w:p>
    <w:p>
      <w:r>
        <w:t>16</w:t>
      </w:r>
    </w:p>
    <w:p>
      <w:r>
        <w:rPr>
          <w:b/>
        </w:rPr>
        <w:t>E. 5</w:t>
      </w:r>
    </w:p>
    <w:p>
      <w:r>
        <w:t>A. stellt sodann Antrag auf Gewährung des bedingten Strafvollzuges. a) Die Voraussetzungen für die Gewährung des bedingten Strafvollzuges bestimmen sich nach Art. 41 Ziff. 1 StGB. In objektiver Hinsicht steht dem Antrag von A. nichts entgegen, hat er doch in den letzten fünf Jahren vor der Tat keine wegen eines vorsätzlich begangenen Verbrechens oder Vergehens ausgefällte Zuchthaus- oder Gefängnisstrafe von mehr als drei Monaten verbüsst. Darüber hin- aus liegt die vorliegend ausgesprochene Strafe unter der gesetzlichen Höchst- grenze von 18 Monaten (Art. 41 Ziff. 1 Abs. 1 und 2 StGB). b) In subjektiver Hinsicht ist der Aufschub der Freiheitsstrafe zulässig, wenn Vorleben und Charakter des Verurteilten erwarten lassen, er werde dadurch von weiteren Verbrechen oder Vergehen abgehalten werden. Es muss ihm mit an- deren Worten eine günstige Prognose gestellt werden können. Verlangt wird eine innere und infolgedessen dauernde Besserung; durch die Warnungsstrafe muss der Verurteilte von Verbrechen und Vergehen schlechthin abgehalten werden. Bei der Prognose sind alle rechtlich massgebenden Gesichtspunkte des Vorlebens, des Charakters, des Leumunds, der konkreten Tatumstände wie auch alle weiteren Tat- sachen, die gültige Rückschlüsse auf die Bewährungsaussichten zulassen, abwä- gend in die Beurteilung miteinzubeziehen. Im Falle der Aufhebung einer angeord- neten Massnahme und nachträglichen Strafzumessung ist auch zu berücksichtigen, wie sich der Beschuldigte seit der Anordnung der Massnahme verhalten hat, weil die Gewährung des bedingten Strafvollzugs nicht durch die Tatschuld, sondern ein- zig durch spezialpräventive Überlegungen bestimmt wird (PKG 1984 Nr. 13). Es ist aufgrund einer Gesamtwürdigung darüber zu entscheiden, ob beim Verurteilten be- rechtigtes Vertrauen auf dauerndes Wohlverhalten besteht. Bei der Beurteilung des Vorlebens des Verurteilten steht die strafrechtliche Vorbelastung im Vordergrund. Zu Ungunsten von A. spricht der Umstand, dass er innerhalb von knapp vier Jahren bereits zum vierten Mal verurteilt werden muss und in der Probezeit der drei früheren Verurteilungen delinquiert hat. Auch hat er nach der Verurteilung vom 17. Juni 2002 mehrfach delinquiert, was zu einer weiteren Verurteilung geführt hat. Ist der Verurteilte schon mehrfach für identische Delikte verurteilt worden, wie dies vorliegend zumindest teilweise zutrifft, liegt die Befürch- tung auf der Hand, er könnte diese Delikte weiterhin begehen. Einschlägige Vor- strafen sind somit bei der Prognosestellung als erheblich ungünstiges Element zu gewichten, wenn auch dem Rückfall keine vorrangige Bedeutung beizumessen ist (vgl. Basler Kommentar, a.a.O., Art. 41 RN 90). Auch aus dem Charakter des Ver-</w:t>
      </w:r>
    </w:p>
    <w:p>
      <w:r>
        <w:t>17 urteilten lassen sich im Einzelfall massgebliche Schlüsse auf das künftige Verhalten des Verurteilten ziehen. Hier ist insbesondere der Umstand zu berücksichtigen, dass der Vollzug der auferlegten Arbeitserziehungsmassnahme nach mehreren Fluchtversuchen von A. infolge fehlender Einsicht und Motivation eingestellt werden musste. Dieses Verhalten lässt Rückschlüsse auf seinen Charakter zu und recht- fertigt berechtigte Zweifel an seinem künftigen Wohlverhalten. Die Tatumstände, das Vorleben und der Charakter von A. weisen eindeutig auf eine ungünstige Pro- gnose hin. Nach dem Gesagten muss daher im Sinne einer Gesamtwürdigung fest- gestellt werden, dass diejenigen Gesichtpunkte, die Zweifel an einem künftigen Wohlverhalten von A. hervorrufen, überwiegen und daher von einem bedingten Voll- zug der Strafe abgesehen werden muss.</w:t>
      </w:r>
    </w:p>
    <w:p>
      <w:r>
        <w:rPr>
          <w:b/>
        </w:rPr>
        <w:t>E. 6</w:t>
      </w:r>
    </w:p>
    <w:p>
      <w:r>
        <w:t>Da A. die vorliegend beurteilten Delikte während angesetzter Probe- zeit begangen hat, ist gemäss Art. 41 Ziff. 3 StGB auch über den Widerruf der be- dingt ausgesprochenen Gefängnisstrafen gemäss Urteil des Kreispräsidenten Fünf Dörfer vom 8. September 1998 von 14 Tagen Gefängnis, gemäss Urteil der Bezirks- anwaltschaft W. vom 12. April 1999 von 45 Tagen Gefängnis sowie gemäss Urteil des Kreisgerichtsausschusses Chur vom 29. Juni 2000 von vier Monaten Gefängnis zu befinden. Ein Absehen von einem Widerruf ist nur dann möglich, wenn begrün- dete Aussicht auf Bewährung besteht und die zu beurteilenden Verfehlungen als leicht zu qualifizieren sind (Art. 41 Ziff. 3 Abs. 2 StGB). Bei der Beurteilung der güns- tigen Prognose geltend die gleichen Kriterien wie bei Art. 41 Ziff. 1 StGB; es ist somit auf die Ausführungen zu diesem Punkt zu verweisen. Fehlt es demnach an der subjektiven Voraussetzung der günstigen Prognose, kann die Prüfung unterblei- ben, ob ein leichter Fall im Sinne des Gesetzes vorliegt. Zusammenfassend ist da- her festzuhalten, dass die ausgesprochenen Gefängnisstrafen gemäss Urteil des Kreispräsidenten Fünf Dörfer vom 8. September 1998 von 14 Tagen Gefängnis, gemäss Urteil der Bezirksanwaltschaft W. vom 12. April 1999 von 45 Tagen Ge- fängnis sowie gemäss Urteil des Kreisgerichtsausschusses Chur vom 29. Juni 2000 von vier Monaten Gefängnis zu vollziehen sind.</w:t>
      </w:r>
    </w:p>
    <w:p>
      <w:r>
        <w:rPr>
          <w:b/>
        </w:rPr>
        <w:t>E. 7</w:t>
      </w:r>
    </w:p>
    <w:p>
      <w:r>
        <w:t>Die Kosten des Gerichtsverfahrens sowie der amtlichen Verteidigung gehen bei diesem Ausgang des Verfahren zu Lasten von A. (Art. 157 StPO). Die Kosten der angerechneten Untersuchungshaft und des Strafvollzugs trägt der Kan- ton Graubünden.</w:t>
      </w:r>
    </w:p>
    <w:p>
      <w:r>
        <w:t>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