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SB 2005 30 vom 4. August 2005</w:t>
      </w:r>
    </w:p>
    <w:p>
      <w:r>
        <w:t>GR Gerichte, 2005-08-04, DE</w:t>
      </w:r>
    </w:p>
    <w:p>
      <w:r>
        <w:rPr>
          <w:b/>
        </w:rPr>
        <w:t xml:space="preserve">Quelle: </w:t>
      </w:r>
      <w:r>
        <w:t>https://mcp.opencaselaw.ch/entscheid/gr_gerichte_SB_2005_30</w:t>
      </w:r>
    </w:p>
    <w:p>
      <w:r>
        <w:t>FR: GR_GERICHTE SB 2005 30 du 4 août 2005</w:t>
      </w:r>
    </w:p>
    <w:p>
      <w:r>
        <w:t>IT: GR_GERICHTE SB 2005 30 del 4 agosto 2005</w:t>
      </w:r>
    </w:p>
    <w:p>
      <w:pPr>
        <w:pStyle w:val="Heading2"/>
      </w:pPr>
      <w:r>
        <w:t>Regeste</w:t>
      </w:r>
    </w:p>
    <w:p>
      <w:r>
        <w:t>Ehrverletzung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Z. ist schuldig der mehrfachen Nötigung gemäss Art. 181 StGB sowie des mehrfachen vollendeten Nötigungsversuchs gemäss Art. 181 StGB in Verbindung mit Art. 22 Abs. 1 StGB.</w:t>
      </w:r>
    </w:p>
    <w:p>
      <w:r>
        <w:rPr>
          <w:b/>
        </w:rPr>
        <w:t>E. 3</w:t>
      </w:r>
    </w:p>
    <w:p>
      <w:r>
        <w:t>Dafür wird Z. mit 14 Tagen Gefängnis sowie Fr. 250.00 Busse bestraft.</w:t>
      </w:r>
    </w:p>
    <w:p>
      <w:r>
        <w:rPr>
          <w:b/>
        </w:rPr>
        <w:t>E. 4</w:t>
      </w:r>
    </w:p>
    <w:p>
      <w:r>
        <w:t>Der Vollzug der Gefängnisstrafe wird unter Ansetzung einer Probezeit von zwei Jahren aufgeschoben. Bei Wohlverhalten wird die Busse nach Ablauf einer Probezeit von einem Jahr gelöscht.</w:t>
      </w:r>
    </w:p>
    <w:p>
      <w:r>
        <w:rPr>
          <w:b/>
        </w:rPr>
        <w:t>E. 5</w:t>
      </w:r>
    </w:p>
    <w:p>
      <w:r>
        <w:t>Die Adhäsionsklagen der Y. O. und des K. O. sowie des J. wer- den abgewiesen.</w:t>
      </w:r>
    </w:p>
    <w:p>
      <w:r>
        <w:rPr>
          <w:b/>
        </w:rPr>
        <w:t>E. 6</w:t>
      </w:r>
    </w:p>
    <w:p>
      <w:r>
        <w:t>Die Kosten des Verfahrens, bestehend aus: - zwei Aussöhnungsverfahren vor Kreispräsident von Fr. 400.00 - Untersuchungsgebühren des Kreispräsidenten von Fr. 200.00 - Untersuchungsgebühr der Staatsanwaltschaft von Fr. 2'085.00 - Barauslagen der Staatsanwaltschaft von Fr.168.20 - der Gerichtsgebühr von Fr. 2'000.00 Total somit von Fr. 5'053.20 gehen zulasten der Z.. Nach Verrechnung mit den von ihr erleg- ten Kostenvorschüssen (Fr. 60.00 an die Kreiskasse Küblis und Fr. 1'500.- an die Bezirksgerichtskasse) hat Z. den Restbetrag von Fr. 3'493.20 innert 30 Tagen nach Rechtskraft dieses Urteils mittels beigeschlossenem Einzahlungsschein der Bezirksge- richtskasse, PC 70-3922-1, zu überweisen. Der von Y. O. ge- leistete Kostenvorschuss von insgesamt Fr. 1'560.00 (Fr. 60.00 an die Kreiskasse Küblis und Fr. 1'500.- an die Bezirksgerichts- kasse) wird ihr nach Rechtskraft dieses Urteils erstattet.</w:t>
      </w:r>
    </w:p>
    <w:p>
      <w:r>
        <w:rPr>
          <w:b/>
        </w:rPr>
        <w:t>E. 7</w:t>
      </w:r>
    </w:p>
    <w:p>
      <w:r>
        <w:t>(Rechtsmittelbelehrung)</w:t>
      </w:r>
    </w:p>
    <w:p>
      <w:r>
        <w:rPr>
          <w:b/>
        </w:rPr>
        <w:t>E. 8</w:t>
      </w:r>
    </w:p>
    <w:p>
      <w:r>
        <w:t>Die Kosten des Berufungsverfahrens von Fr. 2'000.-- gehen zu ¾ zu Lasten von Z. und zu ¼ zu Lasten des Kantons Graubün- den. Die Kosten der amtlichen Verteidigung von Fr. 1'000.-- werden vorschussweise vom Kanton Graubünden übernommen. Sie gehen zu ¾ zu Lasten von Z. und zu ¼ zu Lasten des Kantons Graubünden.</w:t>
      </w:r>
    </w:p>
    <w:p>
      <w:r>
        <w:rPr>
          <w:b/>
        </w:rPr>
        <w:t>E. 9</w:t>
      </w:r>
    </w:p>
    <w:p>
      <w:r>
        <w:t>(Rechtsmittelbelehrung)</w:t>
      </w:r>
    </w:p>
    <w:p>
      <w:r>
        <w:rPr>
          <w:b/>
        </w:rPr>
        <w:t>E. 10</w:t>
      </w:r>
    </w:p>
    <w:p>
      <w:r>
        <w:t>können und dass sich der Sachverhalt nach Darstellung dieser Zeuginnen auch tatsächlich zugetragen hat. Bezüglich der gerügten Verfahrensmängel kann festge- halten werden, dass solche, falls sie – was nicht erkennbar ist – überhaupt vorhan- den sein sollten, keinen Revisionsgrund bilden (vgl. oben Erwägung 2. b)). e) Zusammenfassend kann festgehalten werden, dass die Berufungsklä- gerin bzw. Gesuchsstellerin offensichtlich keine neuen erheblichen Tatsachen oder Beweise geltend bzw. glaubhaft macht, sondern nur Einwände erhebt, welche ihr bereits im früheren, rechtskräftig abgeschlossenen Verfahren bekannt und demzu- folge auch dort vorzutragen waren. Daraus folgt, dass – selbst wenn die Berufung von Z. als Wiederaufnahmegesuch entgegengenommen wird – dasselbe als offensichtlich unbegründet abgewiesen werden muss, sofern überhaupt darauf eingetreten werden kann. 3. Es werden keine Kosten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