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36 vom 20. August 2024</w:t>
      </w:r>
    </w:p>
    <w:p>
      <w:r>
        <w:t>GR Gerichte, 2024-08-20, DE</w:t>
      </w:r>
    </w:p>
    <w:p>
      <w:r>
        <w:rPr>
          <w:b/>
        </w:rPr>
        <w:t xml:space="preserve">Quelle: </w:t>
      </w:r>
      <w:r>
        <w:t>https://mcp.opencaselaw.ch/entscheid/gr_gerichte_R_2023_36</w:t>
      </w:r>
    </w:p>
    <w:p>
      <w:r>
        <w:t>FR: GR_GERICHTE R 2023 36 du 20 août 2024</w:t>
      </w:r>
    </w:p>
    <w:p>
      <w:r>
        <w:t>IT: GR_GERICHTE R 2023 36 del 20 agosto 2024</w:t>
      </w:r>
    </w:p>
    <w:p>
      <w:pPr>
        <w:pStyle w:val="Heading2"/>
      </w:pPr>
      <w:r>
        <w:t>Regeste</w:t>
      </w:r>
    </w:p>
    <w:p>
      <w:r>
        <w:t>Baueinsprache | Baurecht</w:t>
      </w:r>
    </w:p>
    <w:p>
      <w:pPr>
        <w:pStyle w:val="Heading2"/>
      </w:pPr>
      <w:r>
        <w:t>Erwägungen</w:t>
      </w:r>
    </w:p>
    <w:p>
      <w:r>
        <w:rPr>
          <w:b/>
        </w:rPr>
        <w:t>E. 1</w:t>
      </w:r>
    </w:p>
    <w:p>
      <w:r>
        <w:t>zu Recht auf die Einsprache der Beschwerdeführer eingetreten ist bzw. ob die Prozessvoraussetzungen bei der Vorinstanz gegeben waren. Hat Letztere trotz Fehlens einer Prozessvoraussetzung materiell entschieden, ist der angefochtene Entscheid aufzuheben und es ist unter Beachtung des Prozessmangels neu zu befinden. Würde die obere Rechtsmittelinstanz lediglich auf Nichteintreten schliessen, ohne den vorinstanzlichen Entscheid aufzuheben, erwüchse dieser in Rechtskraft, obwohl die Sachurteilsvoraussetzungen nicht gegeben waren (vgl. BERTSCHI, in: GRIFFEL [Hrsg.], Kommentar VRG, 3. Aufl., Zürich/Basel/Genf 2014,</w:t>
      </w:r>
    </w:p>
    <w:p>
      <w:r>
        <w:t>- 11 - Vorbemerkungen zu §§ 19-28a Rz. 57 m.w.H.; vgl. auch Urteil des Bundesgerichts 1P.775/2003 vom 4. März 2004 E.2.3). 5.2. Bezüglich Einsprachelegitimation ist auf Art. 89 Abs. 1 und Abs. 2 i.V.m. Art. 111 Abs. 1 des Bundesgesetzes über das Bundesgericht (BGG; SR 173.110) und die dazu ergangene Rechtsprechung abzustellen. In Plangenehmigungs- und Bewilligungsverfahren zur Errichtung von Bauten und Anlagen wird die Legitimation von Nachbarn gemäss bundesgerichtlicher Rechtsprechung regelmässig ohne nähere Prüfung bejaht, wenn deren Liegenschaft an das Baugrundstück angrenzt oder sich in einem Umkreis von bis zu rund 100 m befindet. Bei grösseren Entfernungen muss hingegen eine Beeinträchtigung aufgrund der konkreten Gegebenheiten glaubhaft erscheinen. Gleichzeitig betont das Bundesgericht, für die Beurteilung der besonderen Betroffenheit nie schematisch auf einzelne Kriterien abzustellen, sondern die Prüfung stets auf der Basis einer Gesamtwürdigung aller rechtlich erheblichen Sachverhaltselemente vorzunehmen. Der Beeinträchtigung muss ein gewisses Gewicht zukommen, um eine Betroffenheit zu begründen, die grösser ist als diejenige der Allgemeinheit. Neben der Distanz können somit auch Art und Ausmass der durch die Anlage verursachten Immissionen, die Sichtverbindung, die Topographie, die Windverhältnisse, das Erscheinungsbild der Baute oder die Lage der Grundstücke entscheidend sein (BGE 140 II 214 E.2.3, 136 II 274 E.2.3.2; Urteile des Bundesgerichts 1C_286/2020 vom 15. Dezember 2020 E.2.3, 1C_107/2018 vom 30. August 2018 E.4.1 m.w.H). 5.3. Die Beschwerdeführer stützen ihre Legitimation lediglich darauf, dass das Bauvorhaben das Rechtsgleichheitsgebot gemäss Art. 8 BV verletze. Als Konkurrenten hätten sie Anspruch auf rechtsgleiche Behandlung bei ähnlich gelagerten Baugesuchen und der allgemein geltenden Planungszone, weshalb sie folglich auch zur Einsprache legitimiert seien</w:t>
      </w:r>
    </w:p>
    <w:p>
      <w:r>
        <w:t>- 12 - (vgl. Beschwerde Rz. II.B.4.1 und 4.2; Replik Rz. B.4, S. 4 f.). Bei Bauherrschaften, welche Wohneinheiten mit der Absicht der Vermietung respektive eventualiter des Verkaufs realisieren möchten, bestehe eine Konkurrenzsituation. Aufgrund der Planungszone sei ihrem Bauvorhaben (Parzelle 249/250) die Baubewilligung verweigert worden; die Erteilung der Baubewilligung an die Beschwerdegegnerin 2 würde eine rechtsungleiche Privilegierung darstellen. Eine konkrete Beeinträchtigung wird nicht geltend gemacht und ist auch nicht ersichtlich. 5.4. Gemäss bundesgerichtlicher Rechtsprechung sind Konkurrenten eines Bewilligungsempfängers nicht schon aufgrund der blossen Befürchtung, einer verstärkten Konkurrenz ausgesetzt zu sein, zur Beschwerde legitimiert. Diese Art des Berührtseins liegt vielmehr im Prinzip des freien Wettbewerbs und schafft keine schutzwürdige besondere Beziehungsnähe. Ein schutzwürdiges Interesse kann gemäss bundesgerichtlicher Rechtsprechung aber vorliegen für Konkurrenten in Wirtschaftszweigen, die durch wirtschaftspolitische oder sonstige spezielle Regelungen (z.B. Kontingentierungen, Bedürfnisklauseln oder Monopoleinräumungen) in eine besondere Beziehungsnähe untereinander versetzt werden. Ferner ist ein Konkurrent zur Beschwerde legitimiert, soweit er geltend macht, andere Konkurrenten würden privilegiert behandelt (vgl. BGE 127 II 264 E.2c und Urteil des Bundesgerichts 1C_437/2012 vom 21. Februar 2013 E.4.5). 5.5. Vorliegend ist unbestritten, dass das geplante Bauvorhaben der Beschwerdegegnerin</w:t>
      </w:r>
    </w:p>
    <w:p>
      <w:r>
        <w:rPr>
          <w:b/>
        </w:rPr>
        <w:t>E. 1.1</w:t>
      </w:r>
    </w:p>
    <w:p>
      <w:r>
        <w:t>km vom Grundstück der Beschwerdeführer entfernt liegt. Inwiefern die Beschwerdeführer durch das geplante Bauvorhaben im Sinne einer Konkurrenzsituation beeinträchtigt werden sollen, ist nach Ansicht des Gerichts nicht ersichtlich. Die Beschwerdeführer und die Beschwerdegegnerin 2 sind als Grundstückeigentümer zwar beide von der kommunalen Planungszone</w:t>
      </w:r>
    </w:p>
    <w:p>
      <w:r>
        <w:t>- 13 - betroffen. Daraus kann aber – insbesondere auch wegen der grossen Entfernung – kein Recht auf Gleichbehandlung abgeleitet werden, zumal die Grundstücke auch in verschiedenen Fraktionen der Gemeinde liegen (F._____ und E._____). Eine Planungszone dient der Sicherstellung der in Revision befindlichen Nutzungsplanung und stellt nicht per se ein Bauverbot dar. In der Planungszone darf nichts unternommen werden, was die neue Planung erschweren oder dieser entgegenstehen könnte. Insbesondere dürfen Bauvorhaben nur bewilligt werden, wenn sie weder den rechtskräftigen noch den vorgesehenen neuen Planungen und Vorschriften widersprechen (vgl. Art. 21 KRG). Dass dabei jedes Bauvorhaben einzeln zu prüfen ist und dabei je nach Lage in der Gemeinde unterschiedliche Beurteilungen resultieren, liegt auf der Hand. Daraus kann keine Rechtsungleichbehandlung abgeleitet werden. Der Gemeinde ist somit zuzustimmen, wenn sie die Beschwerdeführer als nicht zur Einsprache legitimiert qualifizierte. Allerdings hätte die Gemeinde die Einsprache dann nicht materiell behandeln dürfen, sodass der angefochtene Einspracheentscheid schon aus diesem Grund aufzuheben ist. Festzuhalten bleibt hier, dass die Prüfung der Vereinbarkeit des Bauvorhabens mit der geltenden Planungszone Bestandteil der ordentlichen Prüfung der Bewilligungsvoraussetzungen und somit Bestandteil der Baubewilligung sein muss, auch ohne Einsprache.</w:t>
      </w:r>
    </w:p>
    <w:p>
      <w:r>
        <w:rPr>
          <w:b/>
        </w:rPr>
        <w:t>E. 2</w:t>
      </w:r>
    </w:p>
    <w:p>
      <w:r>
        <w:t>rund</w:t>
      </w:r>
    </w:p>
    <w:p>
      <w:r>
        <w:rPr>
          <w:b/>
        </w:rPr>
        <w:t>E. 6</w:t>
      </w:r>
    </w:p>
    <w:p>
      <w:r>
        <w:t>Weiter ist zu prüfen, ob die Beschwerdegegnerin 1 die Kosten für das Einspracheverfahren zu Recht den Beschwerdeführern auferlegt hat.</w:t>
      </w:r>
    </w:p>
    <w:p>
      <w:r>
        <w:rPr>
          <w:b/>
        </w:rPr>
        <w:t>E. 6.1</w:t>
      </w:r>
    </w:p>
    <w:p>
      <w:r>
        <w:t>Gemäss Art. 96 Abs. 2 KRG ist kostenpflichtig, wer den Aufwand durch Gesuche aller Art oder durch sein Verhalten verursacht hat. Die sich aus der Behandlung von Einsprachen ergebenden Kosten sind den Einsprechenden zu überbinden, wenn die Einsprache offensichtlich unzulässig oder offensichtlich unbegründet ist. Diesfalls können die Einsprechenden ausserdem zur Leistung einer angemessenen</w:t>
      </w:r>
    </w:p>
    <w:p>
      <w:r>
        <w:t>- 14 - ausseramtlichen Entschädigung an die Gesuchstellenden verpflichtet werden. Gemäss bundesgerichtlicher Rechtsprechung dürfen die Kosten des Einspracheverfahrens dem Einsprecher in Umsetzung der Grundsätze von Art. 4 und 33 Abs. 2 des Bundesgesetzes über die Raumplanung (RPG; SR 700) grundsätzlich nicht auferlegt werden. Die Kosten des Einspracheverfahrens gehen in Anwendung des Verursacherprinzips grundsätzlich zu Lasten des Baugesuchstellers (BGE 143 II 467 E.2.5 bzw. Pra 107 [2018] Nr. 94). Das Verursacherprinzip ist auch in Art. 96 Abs. 2 Satz 1 KRG verankert. Demnach gehen die Einsprachekosten zulasten des Baugesuchstellers, der mit Einreichung seines Baugesuchs auch die folgenden Kosten für die Behandlung der dagegen erhobenen Einsprachen verursacht hat. Eine Ausnahme davon gilt einzig bei offensichtlich missbräuchlicher Einspracheerhebung, die einer widerrechtlichen Handlung entspricht. In PVG 2021 Nr. 20 E.4 wurde dazu festgehalten, dass unterliegende Einsprecher nur mit Verfahrenskosten belastet werden dürfen, "sofern die Einsprache offensichtlich unzulässig oder offensichtlich unbegründet ist bzw. es sich um eine klar missbräuchliche und schikanöse, einer widerrechtlichen Handlung gleichkommende Intervention handelt oder diese von einer Person stammt, die offensichtlich nicht dazu berechtigt ist."</w:t>
      </w:r>
    </w:p>
    <w:p>
      <w:r>
        <w:rPr>
          <w:b/>
        </w:rPr>
        <w:t>E. 6.2</w:t>
      </w:r>
    </w:p>
    <w:p>
      <w:r>
        <w:t>Im Einspracheentscheid vom 3. April 2023 hielt die Gemeinde fest, die Erhebung der von vornherein aussichtslosen Einsprache sei rechtsmissbräuchlich, weil die Beschwerdeführer offensichtlich nicht zur Einsprache legitimiert gewesen seien. Es sei naheliegend, dass die Beschwerdeführer die Einsprache nur erhoben hätten, um dem Gemeindevorstand Aufwand zu bescheren oder ganz generell das Verfahren zu erschweren oder gar lahm zu legen, weil die Gemeinde ihr Baugesuch im Rahmen eines Vorprüfungsentscheids abgewiesen habe. Sie hätten deshalb mit der Einsprache mit hoher Wahrscheinlichkeit</w:t>
      </w:r>
    </w:p>
    <w:p>
      <w:r>
        <w:t>- 15 - andere Zwecke als den Rechtsschutz verfolgt (Ziff. II. 6.-8). In ihrer Vernehmlassung vom 1. Juni 2023 vertiefte sie dies dahingehend, dass sich der Vorwurf der rechtsungleichen Behandlung im Hinblick auf die Planungszone als unberechtigt erweise, zumal die Parzellen der Beschwerdeführer (249 und 250) im Gegensatz zu derjenigen der Beschwerdegegnerin 2 unüberbaut seien und sich am Rande anderer Bauzonen befänden, weshalb diese von einer Auszonung sehr wahrscheinlich betroffen sein könnten und damit eine Bewilligung klar den Planungszielen zuwiderliefen (Ziff. IV. Rz. 5). Anders verhalte sich die Situation bei der Beschwerdegegnerin 2: Deren Parzelle 349 liege zwar ebenfalls in der Dorfzone, sei jedoch bereits überbaut und befinde sich in Zentrumsnähe angrenzend an die Kantonsstrasse und in Nähe der Bahnlinie, weshalb eine Auszonung bestimmt nicht in Betracht falle. Überdies führe die erteilte Baubewilligung zu einer weiteren Verwirklichung raumplanerischer Ziele, nämlich der Siedlungsentwicklung nach Innen. Hinzu käme, dass die Vorprüfung durch den Kanton positiv ausgefallen sei. Nach Vorgaben des Kantons könne die Parzelle der Beschwerdegegnerin 2 überbaut werden (Ziff. IV. Rz. 6). Aus diesen Umständen ergebe sich, dass die Einsprache der Beschwerdeführer mit grosser Wahrscheinlichkeit lediglich dazu diene, ein anderes Bauprojekt in der Gemeinde zu verhindern, weil diese selbst nicht bauen dürften. Die Einsprache sei daher als rechtsmissbräuchlich zu bezeichnen und die Kostenauferlegung korrekt erfolgt (Ziff. IV. Rz. 7). Die Beschwerdeführer bestreiten indessen den Vorwurf des Rechtsmissbrauchs.</w:t>
      </w:r>
    </w:p>
    <w:p>
      <w:r>
        <w:rPr>
          <w:b/>
        </w:rPr>
        <w:t>E. 6.3</w:t>
      </w:r>
    </w:p>
    <w:p>
      <w:r>
        <w:t>Die Anforderungen für die Annahme einer missbräuchlichen Erhebung der Einsprache sind hoch. Es müssen objektive Gesichtspunkte für eine Missbräuchlichkeit vorliegen. Vorliegend gilt es zu berücksichtigen, dass die Beschwerdeführer im Einspracheverfahren nicht anwaltlich vertreten waren (vgl. Einsprache vom 8. März 2023, Akten der Beschwerdegegnerin</w:t>
      </w:r>
    </w:p>
    <w:p>
      <w:r>
        <w:t>- 16 - 1). Ihnen darf nicht zum Nachteil gereichen, dass sie rechtlich nicht bewandert sind und die Konsequenzen einer Planungszone nicht detailliert beurteilen können. Obschon sowohl die Parzelle der Beschwerdeführer als auch jene der Beschwerdegegnerin 2 innerhalb der Planungszone liegen, wurde einem Bauvorhaben die Bewilligung erteilt, dem anderen offenbar nicht. Dass dies für einen juristischen Laien auf Anhieb nicht nachvollziehbar ist und als rechtsungleich empfunden werden kann, ist nachvollziehbar. Auch darf angenommen werden, dass es für die Beschwerdeführer nicht erkennbar war, dass die Einsprache von vornherein aussichtslos war, weil deren Einsprachelegitimation nicht gegeben war. Dass sie die Einsprache nur erhoben haben, um das Bauvorhaben der Beschwerdegegnerin 2 zu verhindern bzw. dem Gemeindevorstand Aufwand zu bescheren, darf nicht leichthin angenommen werden. Aufgrund der Akten bestehen hierfür keine Anhaltspunkte. Somit greift der Vorwurf der Beschwerdegegnerin 1, die Beschwerdeführer hätten offensichtlich missbräuchlich Einsprache erhoben, nicht. Die Auferlegung der Kosten im Einspracheverfahren an die Beschwerdeführer ist damit zu Unrecht erfolgt.</w:t>
      </w:r>
    </w:p>
    <w:p>
      <w:r>
        <w:rPr>
          <w:b/>
        </w:rPr>
        <w:t>E. 7</w:t>
      </w:r>
    </w:p>
    <w:p>
      <w:r>
        <w:t>Zusammenfassend ist festzuhalten, dass die Gemeinde die Einsprachelegitimation der Beschwerdeführer in ihren Erwägungen zwar zu Recht verneint, jedoch trotz Fehlens dieser Prozessvoraussetzung materiell entschieden hat, weshalb der angefochtene Einspracheentscheid aufzuheben ist. Die Beschwerdegegnerin hat unter Beachtung des Prozessmangels neu zu befinden und auch die Kosten des Einspracheverfahrens neu im Sinne der Erwägungen zu verlegen. Erörterungen zur Rüge der Beschwerdeführer betreffend Verletzung des rechtlichen Gehörs und betreffend grundsätzliche Berechtigung der Gemeinden zur Auferlegung von Kosten einer externen juristischen Fachberatung erübrigen sich damit.</w:t>
      </w:r>
    </w:p>
    <w:p>
      <w:r>
        <w:t>- 17 - 8.1. Bei diesem Ausgang des Verfahrens sind die Verfahrenskosten, bestehend aus einer Staatsgebühr in der Höhe von CHF 3'000.00 sowie den Kanzleiauslagen, der unterliegenden Gemeinde aufzuerlegen (Art. 73 Abs. 1 und 2 sowie Art. 75 Abs. 1 und 2 VRG). 8.2. Die Beschwerdegegnerin 1 hat die Beschwerdeführer zudem aussergerichtlich zu entschädigen (Art. 78 Abs. 1 VRG). Der von den Rechtsvertretern der Beschwerdeführer geltend gemachte Aufwand beträgt insgesamt CHF 4'492.70 (15 h x CHF 270/h = CHF 4'050.00 zzgl. 3 % Spesen = CHF 121.50; zzgl. MWST von 7.7 % = CHF 321.20). Das angerufene Gericht erachtet den Zeitaufwand als angemessen; eine Honorarvereinbarung liegt vor, sodass der geltend gemachte Aufwand zugesprochen werden kann.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