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83 vom 14. Juli 2020</w:t>
      </w:r>
    </w:p>
    <w:p>
      <w:r>
        <w:t>GR Gerichte, 2020-07-14, DE</w:t>
      </w:r>
    </w:p>
    <w:p>
      <w:r>
        <w:rPr>
          <w:b/>
        </w:rPr>
        <w:t xml:space="preserve">Quelle: </w:t>
      </w:r>
      <w:r>
        <w:t>https://mcp.opencaselaw.ch/entscheid/gr_gerichte_R_2018_83</w:t>
      </w:r>
    </w:p>
    <w:p>
      <w:r>
        <w:t>FR: GR_GERICHTE R 2018 83 du 14 juillet 2020</w:t>
      </w:r>
    </w:p>
    <w:p>
      <w:r>
        <w:t>IT: GR_GERICHTE R 2018 83 del 14 luglio 2020</w:t>
      </w:r>
    </w:p>
    <w:p>
      <w:pPr>
        <w:pStyle w:val="Heading2"/>
      </w:pPr>
      <w:r>
        <w:t>Regeste</w:t>
      </w:r>
    </w:p>
    <w:p>
      <w:r>
        <w:t>Baueinsprache | Baurecht</w:t>
      </w:r>
    </w:p>
    <w:p>
      <w:pPr>
        <w:pStyle w:val="Heading2"/>
      </w:pPr>
      <w:r>
        <w:t>Erwägungen</w:t>
      </w:r>
    </w:p>
    <w:p>
      <w:r>
        <w:rPr>
          <w:b/>
        </w:rPr>
        <w:t>E. 5</w:t>
      </w:r>
    </w:p>
    <w:p>
      <w:r>
        <w:t>Gegen diese Verfügung erhoben A._____ und B._____ (nachfolgend Be- schwerdeführer) mit Eingabe vom 24. Oktober 2018 Beschwerde an das Verwaltungsgericht von Graubünden. Sie stellten folgende Rechtsbegeh- ren: "1. Die Dispositivziffer III.2. der Verfügung des Vorstands der Gemeinde C._____ in Sachen Moloks in E._____ D._____, mitgeteilt am 25. Sep- tember 2018, sei aufzuheben und es sei die bestehende Abfallsammelstelle mit fünf Moloks auf E._____ auf- zuheben bzw. zu schliessen. Bei Bedarf seien die bestehenden Abfall- sammelstellen Gemeindewerkhof und/oder Tiefgarage mit der not- wendigen Anzahl an Moloks zu erweitern. 2.1.Eventualiter sei in Aufhebung aller fünf bestehenden Moloks ein Molok für Kehricht beizubehalten bzw. vorzusehen, der in der Mitte der im zurückgezogenen Baugesuch gemäss Situationsplan 1:200 vom 18. April 2018 vorgesehenen Molokstandorte erstellt werden soll (siehe Abbildung, mit rotem Pfeil markiert). (Skizze) 2.2.Subeventualiter sei die Angelegenheit der Beschwerdegegnerin im Sinne der Erwägungen des Gerichts zur weiteren Abklärung und Neu- beurteilung zurückzuweisen.</w:t>
      </w:r>
    </w:p>
    <w:p>
      <w:r>
        <w:t>- 4 - 3. Unter Kosten- und Entschädigungsfolge zulasten der Beschwerde- gegnerin." Im Wesentlichen begründeten sie ihre Beschwerde damit, dass mit den Mo- loks das umweltschutzrechtliche Quellen- und Vorsorgeprinzip verletzt werde. Darüber hinaus beanstandeten sie auch die unrichtige und unvoll- ständige Feststellung des rechtserheblichen Sachverhalts. In verfahrens- rechtlicher Hinsicht beantragten die Beschwerdeführer u.a. die Befragung verschiedener Zeugen, die Durchführung eines Augenscheins sowie die Einholung eines Gutachtens.</w:t>
      </w:r>
    </w:p>
    <w:p>
      <w:r>
        <w:rPr>
          <w:b/>
        </w:rPr>
        <w:t>E. 6</w:t>
      </w:r>
    </w:p>
    <w:p>
      <w:r>
        <w:t>Mit Vernehmlassung vom 3. Dezember 2018 beantragte die Gemeinde C._____ (nachfolgend Beschwerdegegnerin) die kosten- und entschädi- gungsfällige Abweisung der Beschwerde. Im Wesentlichen machte sie gel- tend, dass der Bedarf für die Moloks am Standort E._____ gegeben sei. Sie legte einen Lärmbeurteilungsbericht der H._____ AG vom 27. Novem- ber 2018 ins Recht und führte darauf abstellend aus, dass die von den Mo- loks ausgehenden Immissionen nicht mehr als geringfügig störend seien. In verfahrensrechtlicher Hinsicht beantragte auch sie die Durchführung ei- nes Augenscheins.</w:t>
      </w:r>
    </w:p>
    <w:p>
      <w:r>
        <w:rPr>
          <w:b/>
        </w:rPr>
        <w:t>E. 6.1</w:t>
      </w:r>
    </w:p>
    <w:p>
      <w:r>
        <w:t>Aus der angefochtenen Verfügung vom 25. September 2018 (Bf-act. 1) geht hervor, dass einerseits wiederholt Geruchs- und Lärmimmissionen be- züglich der fraglichen fünf Moloks in E._____ beklagt wurden, was die Be- schwerdegegnerin ursprünglich bewog, die Sammelstelle gänzlich aufzu- heben. Andererseits gab es gegen die Entfernung der Moloks Widerstand aus der Bevölkerung, was die Beschwerdegegnerin im Sinne einer Kom- promisslösung zu einer geringfügigen Versetzung der Moloks (auf der glei- chen Parzelle) bewog. Aus der Verfügung vom 25. September 2018 (Bf- act. 1) ist – abgesehen von angeblich mehreren (jedoch nicht dokumentier- ten) Augenscheinen – nicht ersichtlich, dass die Beschwerdegegnerin massgebliche Abklärungen bezüglich der beanstandeten Emissionen/Im- missionen getätigt hätte, obwohl die hiesigen Beschwerdeführer in ihrer Einsprache vom 8. Mai 2018 (auch angesichts der Identität der gesuchstel- lenden und gleichzeitig bewilligenden Behörde, vgl. Ziff. II.4) den Beizug des ANU verlangt und u.a. die ungenügenden Abklärungen in Bezug auf die Immissionssituation gerügt hatten (vgl. Bf-act. 1 Ziff. I.4 [Sachverhalt] sowie Bf-act. 43 insbesondere Ziff. II.6.1, III.5.2, IV.2.1). Weitere vorin- stanzliche Unterlagen, aus denen etwas Anderes hervorgehen würden, legte die Beschwerdegegnerin nicht vor.</w:t>
      </w:r>
    </w:p>
    <w:p>
      <w:r>
        <w:t>- 27 -</w:t>
      </w:r>
    </w:p>
    <w:p>
      <w:r>
        <w:rPr>
          <w:b/>
        </w:rPr>
        <w:t>E. 6.2</w:t>
      </w:r>
    </w:p>
    <w:p>
      <w:r>
        <w:t>Während laufendem Beschwerdeverfahren holte die Beschwerdegegnerin bei der H._____ AG einen Lärmbeurteilungsbericht ein, den diese am 27. November 2018 erstattete (Bg-act. 9-11). In Bezug auf die von den Be- schwerdeführern anhand der Vollzugshilfe des BAFU vorgenommene Be- urteilung kritisierte die H._____ AG, dass diese für einen Glascontainer an- statt für den Haushaltsabfall ausgefüllt worden sei. In Korrektur der verba- len Beurteilung der Beschwerdeführer, gestützt auf die Vollzugshilfe des BAFU, kam die H._____ AG zur Einstufung des allein vom Haushaltsabfall ausgehenden Lärms von "höchstens geringfügig störend" (Bg-act. 10), dies entgegen den Ausführungen der Beschwerdeführer, die von mindestens "störend" bzw. "erheblich störend" bzw. von einem überschrittenen Pla- nungswert ausgingen (Bf-act. 41-42). In Bezug auf den Glasabfall stützte sich die H._____ AG auf das von der Empa entwickelte Excel-Berech- nungs-Tool (Untersuchungsbericht Empa Nr. 456'052), das die Schallleis- tungsdaten der wichtigsten lärmrelevanten Ereignisse bei einer Sammel- stelle vorgibt (Anlieferung mit dem Auto, Flascheneinwürfe, LKW-Anfahr- ten, Containerleerungen); sie kam unter Berücksichtigung angepasster Be- triebszeiten (08:00 bis 19:00 Uhr) zum (orientierenden) Ergebnis, dass die Glassammelstelle (am nächstgelegenen Fenster) einen Wert von 60 dB er- zeuge, mithin den Planungswert für die Empfindlichkeitsstufe ES III (60 dB am Tag von 07:00-19:00 Uhr; vgl. Bg-act. 9, S. 4) erreiche. Die H._____ AG hielt diesbezüglich fest, dass eine Verbesserung dieser Lärmimmissio- nen nur mit einem Massnahmenkatalog erreicht werden könne (Nachrüs- ten der Molokdeckel und betriebliche Massnahmen [Einschränkung der Be- triebs- und Leerungszeiten]). Darüber hinaus legte die Beschwerdegegnerin im Rahmen ihrer Duplik vom</w:t>
      </w:r>
    </w:p>
    <w:p>
      <w:r>
        <w:rPr>
          <w:b/>
        </w:rPr>
        <w:t>E. 6.2.1</w:t>
      </w:r>
    </w:p>
    <w:p>
      <w:r>
        <w:t>Die Beschwerdeführer bezeichnen den Lärmbeurteilungsbericht der H._____ AG vom 27. November 2018 (Bg-act. 9) als Parteigutachten (vgl. dazu Erwägung 4.4) und bestreiten deren Ausführungen. Sie halten fest, mit der von ihnen vorgenommenen verbalen Beurteilung hätten sie sämtli- che von der Abfallsammelstelle ausgehenden Emissionen miteinbezogen (Haushaltskehricht und Glas) und nicht nur eine Abfallart, wie dies die H._____ AG gemacht habe. Ferner rügen sie die von der H._____ AG bei der Beurteilung des Glaslärms eingesetzten Zahlen und den Umstand, dass diese von bereits angepassten Betriebszeiten ausging. Im Übrigen hätte von einer Lärmexpertin die Vornahme konkreter Messungen über ei- nen repräsentativen Zeitraum erwartet werden können. Die Beschwerdegegnerin hält dazu fest, dass nach bundesgerichtlicher Rechtsprechung die Anwendung der im Anhang 6 LSV statuierten Belas- tungsgrenzwerte für Glascontainer und des von der Empa entwickelten Be- rechnungstools als Wertungshilfe zulässig seien. Die Schlussfolgerungen der H._____ AG in deren Lärmbeurteilungsbericht vom 27. November 2018 (Bg-act. 9) seien verständlich, nachvollziehbar und plausibel. Lärmmes- sungen vor Ort seien nicht erforderlich gewesen.</w:t>
      </w:r>
    </w:p>
    <w:p>
      <w:r>
        <w:rPr>
          <w:b/>
        </w:rPr>
        <w:t>E. 6.2.2</w:t>
      </w:r>
    </w:p>
    <w:p>
      <w:r>
        <w:t>Das ANU hielt in seinem Amtsbericht vom 12. Dezember 2019 fest, dass das von der H._____ AG verwendete, von der Empa entwickelte Excel- Berechnungs-Tool (Untersuchungsbericht Empa Nr. 456'052) nach der Be- urteilungsmethodik von Anhang 6 zur LSV als Entscheidungshilfe grundsätzlich geeignet sei, eine Grobabschätzung der Lärmsituation durch (Glas-)Sammelstellen vorzunehmen. Deren Beurteilung habe ergeben, dass die durch die Sammelstelle verursachten Lärmimmissionen gerade an der Schwelle zwischen geringfügig und erheblich störend liege, und</w:t>
      </w:r>
    </w:p>
    <w:p>
      <w:r>
        <w:t>- 29 - dass aufgrund der bei der Lärmbeurteilung vernachlässigten Berücksichti- gung der zusätzlichen Lärmimmissionen durch die Sammlung von Haus- haltskehricht und Altpapier sowie der generellen Unsicherheit in Bezug auf die Lärmermittlung mehr als nur geringfügig störende Lärmimmissionen durch den Betrieb der Sammelstelle nicht ausgeschlossen werden könn- ten, weshalb die Umsetzung der aufgeführten Massnahmen zur Verringe- rung der Lärmimmissionen angezeigt sei. Hingegen kam das ANU zum Schluss, dass das von den Beschwerdeführern verwendete Excel-Tool zur Beurteilung von Lärmimmissionen durch Sammelstellen nicht sachgerecht bzw. nicht zweckmässig sei (vgl. Ziff. 2, S. 2, Ziff. 5, S. 3). Aus dem Bericht des ANU vom 12. Dezember 2019 geht also hervor, dass die Sachverhaltsabklärung seitens der H._____ AG in Bezug auf den vom Glasmolok ausgehenden Lärm mittels Beizug des Excel-Berechnungs- Tools der Empa (Nr. 456'052) methodisch richtig vorgenommen wurde. Zu der in Bezug auf den Haushaltsabfall vorgenommenen verbalen Beurtei- lung gestützt auf die Vollzugshilfe des BAFU äusserte sich das ANU nicht inhaltlich, jedoch hielt es fest, dass auch die durch die Sammlung von Alt- papier und Haushaltskehricht hervorgerufenen Lärmimmissionen nicht ver- nachlässigt werden dürften, wobei es sich auch zu der dadurch bewirkten Zunahme nicht konkret äusserte. Angesichts des Schlusses der H._____ AG, dass bei der Glassammelstelle der Planungswert erreicht und der zu- sätzliche Abfall als "höchstens geringfügig störend" einzustufen sei, ergibt sich, dass der (orientierende) Planungswert von 60 dB (bei theoretischer Berücksichtigung bereits angepasster Betriebszeiten) überschritten ist. Nähere Abklärungen zum Lärm, der vom Betrieb des Altpapiermoloks und der Kehrichtmoloks ausgeht, hat die Beschwerdegegnerin nicht vorgenom- men, weshalb im Rahmen der erforderlichen Einzelfallbeurteilung auch keine Gesamtprüfung erfolgte bzw. erfolgen konnte.</w:t>
      </w:r>
    </w:p>
    <w:p>
      <w:r>
        <w:t>- 30 -</w:t>
      </w:r>
    </w:p>
    <w:p>
      <w:r>
        <w:rPr>
          <w:b/>
        </w:rPr>
        <w:t>E. 6.3</w:t>
      </w:r>
    </w:p>
    <w:p>
      <w:r>
        <w:t>Dasselbe gilt in Bezug auf den Geruch und die Erschütterungen, die vom Betrieb der Sammelstelle ausgehen. Die Beschwerdegegnerin hat keine entsprechenden Abklärungen getätigt und auch das ANU äusserte sich nicht dazu. Was den Geruch bzw. Gestank betrifft, konnten die Mitglieder des Gerichts anlässlich des Augenscheins feststellen, dass insbesondere bei der Entleerung des Kehrichtmoloks unangenehme Gerüche austraten.</w:t>
      </w:r>
    </w:p>
    <w:p>
      <w:r>
        <w:rPr>
          <w:b/>
        </w:rPr>
        <w:t>E. 6.4</w:t>
      </w:r>
    </w:p>
    <w:p>
      <w:r>
        <w:t>Das Gericht kommt damit zum Schluss, dass die Beschwerdegegnerin den rechtserheblichen Sachverhalt nicht genügend abgeklärt hat.</w:t>
      </w:r>
    </w:p>
    <w:p>
      <w:r>
        <w:rPr>
          <w:b/>
        </w:rPr>
        <w:t>E. 6.4.1</w:t>
      </w:r>
    </w:p>
    <w:p>
      <w:r>
        <w:t>Ist der Sachverhalt nicht genügend ermittelt, ist die angefochtene Verfü- gung vom 25. September 2018 (Bf-act. 1) aufzuheben und die Sache an die Beschwerdegegnerin zurückzuweisen. Diese wird angehalten, die feh- lenden Sachverhaltsfeststellungen in Bezug auf die vom Betrieb der Abfall- sammelstelle E._____ (Glas, Haushaltskehricht und Altpapier) ausgehen- den Emissionen/Immissionen (Lärm, Geruch und Erschütterungen) zu er- gänzen bzw. vorzunehmen, wobei das konkrete Vorgehen der Beschwer- degegnerin überlassen ist (z.B. Einholung eines Gutachtens mit konkreten Messungen, Augenschein, Befragungen, etc.).</w:t>
      </w:r>
    </w:p>
    <w:p>
      <w:r>
        <w:rPr>
          <w:b/>
        </w:rPr>
        <w:t>E. 6.4.2</w:t>
      </w:r>
    </w:p>
    <w:p>
      <w:r>
        <w:t>Die Beschwerdegegnerin wird bei der Ergänzung des Sachverhalts und neuem Entscheid zu beachten haben, dass der Bedarf der in der fraglichen Fraktion der Gemeinde bestehenden Moloks nicht (mehr) in Frage gestellt ist (Stellungnahme [Replik] vom 3. Januar 2019, Ziff. 6.1; vgl. auch VGU R 14 84 vom 3. März 2015 E.4), dass der Standort E._____ im Rahmen eines im Jahr 2011 durchgeführten Baubewilligungsverfahrens rechtskräf- tig festgelegt worden war (vgl. dazu VGU R 15 21 vom 29. September 2015 E.2a und R 12 42/72 vom 18. Februar 2013 E.4a und b), dass der Standort in der Dorfmitte offenbar einem Bedürfnis der Bevölkerung entspricht (für ca. 340 Einwohner, Gehdistanzen zu den anderen beiden Abfallsammel-</w:t>
      </w:r>
    </w:p>
    <w:p>
      <w:r>
        <w:t>- 31 - stellen ca. 300 m bzw. 500 m) und dass der Gemeinde, die verpflichtet ist, zweckmässige, den gerechtfertigten Bedürfnissen des Abfalllieferanten entsprechende Entsorgungslösungen anzubieten, bei der Festlegung des Standorts grundsätzlich ein relativ erheblicher Ermessensspielraum zu- steht (vgl. BGE 143 I 336 E.4.4; VGU U 17 39 vom 15. Mai 2018 E.5.1). Einem alternativen Standort wäre nach der Rechtsprechung nur dann der Vorzug zu geben, wenn dieser in unmittelbarer Nähe vorhanden wäre, zu einer vergleichsweise wesentlichen Verbesserung führen würde und ent- sprechend den gewählten Standort als geradezu ungeeignet erscheinen liesse (VGU R 15 21 vom 29. September 2015 E.2b, R 14 84 vom 3. März 2015 E.4, R 12 42/72 vom 18. Februar 2013 E.4a und b; PVG 2007 Nr. 26 [5. Dezember 2006] E.5c). Dies bedeutet vorliegend, dass eine vollständige Aufhebung der Abfallsammelstelle E._____, auch im Sinne des Verhältnis- mässigkeitsprinzips, nur dann gerechtfertigt wäre, wenn umweltrechtliche Vorschriften verletzt wären und diese Verletzung nicht anders als mittels Schliessung des Standorts verhindert werden könnte. Darüber hinaus ist festzuhalten, dass Moloks nach der Rechtsprechung des Verwaltungsge- richts baurechtlich nicht als Gebäude eingestuft werden, weshalb, sofern keine weiteren gesetzlichen (auch umweltrechtlichen) Vorschriften verletzt werden, keine Grenzabstände einzuhalten sind (PVG 2007 Nr. 26 [5. De- zember 2006] E.5a). Zudem wird beim erneuten Entscheid das in den Rechtsschriften signalisierte Entgegenkommen der Beschwerdegegnerin zu beachten sein (angeblich bereits vorgenommene Massnahmen: Gum- midichtung bei den Deckeln, zusätzliche Kontrollen bei der Einhaltung der Einwurfszeiten; vorgesehene Massnahmen: Gummirosetten beim Ein- wurfsloch, Anpassung der Betriebszeiten, besser sichtbare Beschilderung, regelmässiges Auswaschen der Moloksäcke, etc.). Was die Beschwerde- führer mit ihren Ausführungen, auf diese versprochenen Massnahmen sei die Gemeinde zu behaften bzw. diesbezüglich liege eine Teil-Anerkennung vor (obwohl sie im Hauptbegehren die Entfernung der Moloks beantragen),</w:t>
      </w:r>
    </w:p>
    <w:p>
      <w:r>
        <w:t>- 32 - im vorliegenden Beschwerdeverfahren erreichen wollen, bleibt unklar, wes- halb nicht weiter darauf eingegangen wird.</w:t>
      </w:r>
    </w:p>
    <w:p>
      <w:r>
        <w:rPr>
          <w:b/>
        </w:rPr>
        <w:t>E. 6.5</w:t>
      </w:r>
    </w:p>
    <w:p>
      <w:r>
        <w:t>Zusammenfassend kommt das Gericht zum Schluss, dass die Beschwerde im Subeventualantrag gutzuheissen ist. Das bedeutet, dass die Angelegen- heit der Beschwerdegegnerin zur Vornahme ausreichender Abklärungen im Sinne der Erwägungen und zur Neubeurteilung bzw. zum Neuentscheid zurückzuweisen ist. Im Übrigen ist die Beschwerde abzuweisen. 7. Im Rechtsmittelverfahren hat in der Regel die unterliegende Partei die Kos- ten zu tragen (Art. 73 Abs. 1 VRG). Die Verfahrenskosten bestehen aus der Staatsgebühr, den Gebühren für die Ausfertigungen und Mitteilungen des Entscheids sowie den Barauslagen (Art. 75 Abs. 1 VRG). Die Staats- gebühr beträgt höchstens Fr. 20'000.--, sie richtet sich nach dem Umfang und der Schwierigkeit der Sache sowie nach dem Interesse und der wirt- schaftlichen Leistungsfähigkeit der Kostenpflichtigen (Art. 75 Abs. 2 VRG).</w:t>
      </w:r>
    </w:p>
    <w:p>
      <w:r>
        <w:rPr>
          <w:b/>
        </w:rPr>
        <w:t>E. 7</w:t>
      </w:r>
    </w:p>
    <w:p>
      <w:r>
        <w:t>Mit freigestellter Stellungnahme (Replik) vom 3. Januar 2019 hielten die Beschwerdeführer unverändert an ihren gemäss Beschwerde vom 24. Ok- tober 2018 gestellten Rechtsbegehren fest.</w:t>
      </w:r>
    </w:p>
    <w:p>
      <w:r>
        <w:rPr>
          <w:b/>
        </w:rPr>
        <w:t>E. 7.1</w:t>
      </w:r>
    </w:p>
    <w:p>
      <w:r>
        <w:t>Im vorliegenden Beschwerdeverfahren wird die Staatsgebühr im Sinne von Art. 75 Abs. 2 VRG auf Fr. 5‘000.-- festgesetzt. Da der Subeventualantrag der Beschwerdeführer gutgeheissen wurde, sind die Beschwerdeführer als obsiegende Partei anzusehen. Diesem Ausgang des Verfahrens entspre- chend wird die Staatsgebühr der unterliegenden Beschwerdegegnerin auf- erlegt.</w:t>
      </w:r>
    </w:p>
    <w:p>
      <w:r>
        <w:rPr>
          <w:b/>
        </w:rPr>
        <w:t>E. 7.2</w:t>
      </w:r>
    </w:p>
    <w:p>
      <w:r>
        <w:t>Gemäss Art. 78 Abs. 1 VRG wird die unterliegende Partei in der Regel ver- 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 kungskreis obsiegen (Art. 78 Abs. 2 VRG). Nach Art. 2 Abs. 1 der Verord-</w:t>
      </w:r>
    </w:p>
    <w:p>
      <w:r>
        <w:t>- 33 - nung über die Bemessung des Honorars der Rechtsanwältinnen und Rechtsanwälte (HV; BR 310.250) setzt die urteilende Instanz die Parteien- tschädigung der obsiegenden Partei nach Ermessen fest. Dabei geht sie gemäss Art. 2 Abs. 2 Ziff. 1 HV vom Betrag aus, welcher der entschädi- gungsberechtigten Partei für die anwaltliche Vertretung in Rechnung ge- stellt wird, soweit der vereinbarte Stundenansatz zuzüglich allfällig verein- bartem Interessenwertzuschlag üblich ist und keine Erfolgszuschläge enthält. Als üblich gilt gemäss Art. 3 Abs. 1 HV ein Stundenansatz von Fr. 210.-- bis Fr. 270.--. Weiter wird vorausgesetzt, dass der geltend ge- machte Aufwand angemessen und für die Prozessführung erforderlich ist (Art. 2 Abs. 2 Ziff. 2 HV) und die geforderte Entschädigung nicht eine von der Sache beziehungsweise von den legitimen Rechtsschutzbedürfnissen her nicht gerechtfertigte Belastung der unterliegenden Partei zur Folge hat (Art. 2 Abs. 2 Ziff. 3 HV). Reichen die Parteien zu Beginn des Verfahrens nicht eine vollständige, unterschriebene Honorarvereinbarung ein, kann die urteilende Instanz davon absehen, für die Festsetzung der Parteientschä- digung die Anwaltsrechnung heranzuziehen (Art. 4 Abs. 1 HV).</w:t>
      </w:r>
    </w:p>
    <w:p>
      <w:r>
        <w:rPr>
          <w:b/>
        </w:rPr>
        <w:t>E. 7.2.1</w:t>
      </w:r>
    </w:p>
    <w:p>
      <w:r>
        <w:t>Vorliegend reichten die Beschwerdeführer am 28. Dezember 2018, mithin nach Einreichung der Beschwerde, eine Honorarnote über Fr. 12'835.40 (inkl. MWST) ein (Bf-act. 53). Die Forderung setzt sich zusammen aus dem Honorar von Fr. 11'570.60, den Spesen von Fr. 347.10 und der MWST von Fr. 917.70. Das Honorar wurde mit einem korrekterweise von der Honora- rvereinbarung abweichenden (vgl. Bf-act. 45 und 47 mit einem Tarif von Fr. 350.--/h, vgl. dazu VGU R 20 43 vom 1. September 2020 E.1.2.2 mit weiteren Hinweisen) Stundentarif für Rechtsanwalt Metzger von Fr. 270.-- (Aufwand 4 Stunden 10 Minuten) und für lic. iur. Walker (damals Praktikan- tin) von Fr. 202.50 (Aufwand 51 Stunden 35 Minuten) berechnet. Nach Ein- reichung der Replik vom 3. Januar 2019 und der Stellungnahme vom 25. Januar 2019 zur Duplik, den Stellungnahmen zum Amtsbericht des</w:t>
      </w:r>
    </w:p>
    <w:p>
      <w:r>
        <w:t>- 34 - ANU vom 15. Januar 2020 und vom 25. Februar 2020 sowie nach Durch- führung des Augenscheins vom 25. Mai 2020 und Einreichung der Stel- lungnahme vom 15. Juni 2020 zum Protokoll vom 26./27. Mai 2020 teilte der Instruktionsrichter mit Schreiben vom 22. Juni 2020 den Parteien mit, dass er die Streitsache als spruchreif erachte und dass allfällige weitere Eingaben bis spätestens am 2. Juli 2020 einzureichen seien. Eine weitere Honorarnote reichten die Beschwerdeführer in der Folge nicht mehr ein. Gestützt auf die vorhandenen Angaben und davon ausgehend, dass der Hauptteil des anwaltlichen Aufwands mit der Formulierung der Beschwerde verbunden war, geht das Gericht von einem geschätzten notwendigen Ge- samtaufwand der beschwerdeführerischen Rechtsvertreter von rund Fr. 15'000.-- aus. Da die Beschwerdeführer mit ihren Begehren lediglich teilweise durchdringen (Gutheissung des Subeventualantrags), wird die aussergerichtliche Parteientschädigung auf Fr. 5'000.-- reduziert.</w:t>
      </w:r>
    </w:p>
    <w:p>
      <w:r>
        <w:t>- 35 - Demnach erkennt das Gericht:</w:t>
      </w:r>
    </w:p>
    <w:p>
      <w:r>
        <w:rPr>
          <w:b/>
        </w:rPr>
        <w:t>E. 8</w:t>
      </w:r>
    </w:p>
    <w:p>
      <w:r>
        <w:t>Mit Duplik vom 16. Januar 2019 bestätigte die Beschwerdegegnerin ihre mit Vernehmlassung vom 3. Dezember 2018 gestellten Rechtsbegehren.</w:t>
      </w:r>
    </w:p>
    <w:p>
      <w:r>
        <w:rPr>
          <w:b/>
        </w:rPr>
        <w:t>E. 9</w:t>
      </w:r>
    </w:p>
    <w:p>
      <w:r>
        <w:t>Mit Stellungnahme vom 25. Januar 2019 äusserten sich die Beschwerde- führer zur Duplik der Beschwerdegegnerin.</w:t>
      </w:r>
    </w:p>
    <w:p>
      <w:r>
        <w:t>- 5 -</w:t>
      </w:r>
    </w:p>
    <w:p>
      <w:r>
        <w:rPr>
          <w:b/>
        </w:rPr>
        <w:t>E. 10</w:t>
      </w:r>
    </w:p>
    <w:p>
      <w:r>
        <w:t>Mit Schreiben vom 4. Februar 2019 reichte die Beschwerdegegnerin ein Schreiben der Gemeinde ein, in dem bestätigt wird, dass 134 gültige Un- terschriften für die Beibehaltung der Moloks am Standort E._____ einge- reicht worden seien. In diesem Zusammenhang legte sie dar, dass die von den Beschwerdeführern bestrittene (von der Beschwerdegegnerin mit der Duplik eingereichte) Petition aus Gründen des Datenschutzes lediglich mit Abdeckung der Namen habe eingereicht werden können.</w:t>
      </w:r>
    </w:p>
    <w:p>
      <w:r>
        <w:rPr>
          <w:b/>
        </w:rPr>
        <w:t>E. 11</w:t>
      </w:r>
    </w:p>
    <w:p>
      <w:r>
        <w:t>Mit Schreiben vom 22. November 2019 beauftragte der Instruktionsrichter das Amt für Natur und Umwelt (nachfolgend ANU) mit der Erstellung eines Amtsberichts zur Immissionsproblematik (Lärm/Geruch/ Erschütterungen) betreffend die Abfallsammelstelle E._____.</w:t>
      </w:r>
    </w:p>
    <w:p>
      <w:r>
        <w:rPr>
          <w:b/>
        </w:rPr>
        <w:t>E. 12</w:t>
      </w:r>
    </w:p>
    <w:p>
      <w:r>
        <w:t>Mit Schreiben vom 27. November 2019 beantragten die Beschwerdeführer die Einvernahme zweier weiterer Zeugen.</w:t>
      </w:r>
    </w:p>
    <w:p>
      <w:r>
        <w:rPr>
          <w:b/>
        </w:rPr>
        <w:t>E. 13</w:t>
      </w:r>
    </w:p>
    <w:p>
      <w:r>
        <w:t>Der Bericht des ANU erging am 12. Dezember 2019. Das Amt kam darin zum Schluss, dass das von der H._____ AG verwendete, von der Eid- genössischen Materialprüfungs- und Forschungsanstalt (nachfolgend Empa) entwickelte Excel-Berechnungs-Tool zur Lärmbeurteilung von (Glas-)Sammelstellen für eine grobe Abschätzung der Lärmsituation in E._____ geeignet sei. Die von der H._____ AG vorgenommene Lärmbeur- teilung habe ergeben, dass die Lärmimmissionen an der Schwelle zwi- schen geringfügig und erheblich störend lägen. Unter Berücksichtigung der zusätzlichen Lärmimmissionen bei der Entsorgung von Haushaltskehricht und Altpapier sei nicht auszuschliessen, dass die durch den Betrieb der Sammelstelle insgesamt verursachten Lärmimmissionen mehr als nur ge- ringfügig störend seien. Folglich seien Massnahmen zur Verringerung der Lärmimmissionen angezeigt.</w:t>
      </w:r>
    </w:p>
    <w:p>
      <w:r>
        <w:t>- 6 -</w:t>
      </w:r>
    </w:p>
    <w:p>
      <w:r>
        <w:rPr>
          <w:b/>
        </w:rPr>
        <w:t>E. 14</w:t>
      </w:r>
    </w:p>
    <w:p>
      <w:r>
        <w:t>Zum Bericht des ANU vom 12. Dezember 2019 nahmen die Beschwerde- gegnerin mit Eingabe vom 13. Februar 2020 und die Beschwerdeführer mit Eingabe vom 15. Januar 2020 Stellung. Zur Stellungnahme der Beschwer- degegnerin äusserten sich die Beschwerdeführer in einer weiteren Eingabe vom 25. Februar 2020.</w:t>
      </w:r>
    </w:p>
    <w:p>
      <w:r>
        <w:rPr>
          <w:b/>
        </w:rPr>
        <w:t>E. 15</w:t>
      </w:r>
    </w:p>
    <w:p>
      <w:r>
        <w:t>Mit Verfügung vom 26. Februar 2020 teilte der Instruktionsrichter mit, dass ein Augenschein vor Ort durchgeführt werde. Dieser wurde auf den 30. März 2020 angesetzt und infolge des corona-bedingten Lockdowns auf den 25. Mai 2020 verschoben. Das Protokoll des Augenscheins, datiert vom 26./27. Mai 2020, wurde den Parteien am 4. Juni 2020 zugestellt. Diese nahmen dazu jeweils mit Eingabe vom 15. Juni 2010 Stellung.</w:t>
      </w:r>
    </w:p>
    <w:p>
      <w:r>
        <w:rPr>
          <w:b/>
        </w:rPr>
        <w:t>E. 16</w:t>
      </w:r>
    </w:p>
    <w:p>
      <w:r>
        <w:t>Januar 2019 ein Mail der Vertreterin der I._____ vom 12. November 2018 (Bg-act. 13) ins Recht, mit der die von ihr angegebenen Kehrichtmen-</w:t>
      </w:r>
    </w:p>
    <w:p>
      <w:r>
        <w:t>- 28 - gen (vgl. S. 5 f. der Vernehmlassung vom 3. Dezember 2018 und Bg-act. 2- 4) bestätigt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