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59 vom 12. September 2017</w:t>
      </w:r>
    </w:p>
    <w:p>
      <w:r>
        <w:t>GR Gerichte, 2017-09-12, DE</w:t>
      </w:r>
    </w:p>
    <w:p>
      <w:r>
        <w:rPr>
          <w:b/>
        </w:rPr>
        <w:t xml:space="preserve">Quelle: </w:t>
      </w:r>
      <w:r>
        <w:t>https://mcp.opencaselaw.ch/entscheid/gr_gerichte_R_2016_59</w:t>
      </w:r>
    </w:p>
    <w:p>
      <w:r>
        <w:t>FR: GR_GERICHTE R 2016 59 du 12 septembre 2017</w:t>
      </w:r>
    </w:p>
    <w:p>
      <w:r>
        <w:t>IT: GR_GERICHTE R 2016 59 del 12 settembre 2017</w:t>
      </w:r>
    </w:p>
    <w:p>
      <w:pPr>
        <w:pStyle w:val="Heading2"/>
      </w:pPr>
      <w:r>
        <w:t>Regeste</w:t>
      </w:r>
    </w:p>
    <w:p>
      <w:r>
        <w:t>Baueinsprache | Baurecht</w:t>
      </w:r>
    </w:p>
    <w:p>
      <w:pPr>
        <w:pStyle w:val="Heading2"/>
      </w:pPr>
      <w:r>
        <w:t>Erwägungen</w:t>
      </w:r>
    </w:p>
    <w:p>
      <w:r>
        <w:rPr>
          <w:b/>
        </w:rPr>
        <w:t>E. 5</w:t>
      </w:r>
    </w:p>
    <w:p>
      <w:r>
        <w:t>Der UVB vom 28. Juli 2015 wurde am 16. November 2015 revidiert.</w:t>
      </w:r>
    </w:p>
    <w:p>
      <w:r>
        <w:rPr>
          <w:b/>
        </w:rPr>
        <w:t>E. 6</w:t>
      </w:r>
    </w:p>
    <w:p>
      <w:r>
        <w:t>Am 19. November 2015 stellte das ANU zudem dem Stadtrat von Chur Antrag, den UVB als Bericht im Sinne von Art. 8 KVUVP anzuerkennen und zustimmend zur Kenntnis zu nehmen. Es beantragte die Zustimmung des Baugesuchs samt UVB unter anderem mit folgenden Auflagen: (2.1 und 2.2) Die im UVB definierten Massnahmen und die Auflagen in der Amtsverfügung seien zu berücksichtigen und umzusetzen.</w:t>
      </w:r>
    </w:p>
    <w:p>
      <w:r>
        <w:t>- 3 - (2.3) Der Güterumschlagplatz sei so zu gestalten, dass im nördlich an- grenzenden Wohngebiet gegenüber dem heutigen Zustand keine Zunah- me der Lärmimmissionen entstehe. Hierfür sei die Verladerampe wie im heutigen Zustand überdacht und eingehaust zu realisieren.</w:t>
      </w:r>
    </w:p>
    <w:p>
      <w:r>
        <w:rPr>
          <w:b/>
        </w:rPr>
        <w:t>E. 7</w:t>
      </w:r>
    </w:p>
    <w:p>
      <w:r>
        <w:t>Am 4. Dezember 2015 beantragte die C._____ die Abweisung der Bau- einsprache.</w:t>
      </w:r>
    </w:p>
    <w:p>
      <w:r>
        <w:rPr>
          <w:b/>
        </w:rPr>
        <w:t>E. 8</w:t>
      </w:r>
    </w:p>
    <w:p>
      <w:r>
        <w:t>Am 13. April 2016 nahm das ANU zum von der Bauherrschaft am 16. November 2015 eingereichten Nachtrag "Lärmgutachten Anlieferung und haustechnische Anlagen" Stellung. Das ANU führte insbesondere aus, dass die Immissionsgrenzwerte zwar eingehalten seien. Indessen seien Lärmemissionen so weit zu begrenzen als dies technisch und betrieblich möglich und wirtschaftlich tragbar sei. Deshalb bestätigte es seinen in der Stellungnahme vom 19. November 2015 bereits gestellten Antrag, die Verladerampe sei wie heute überdacht und eingehaust vorzusehen. Zu den haustechnischen Anlagen gab es keine Bemerkungen.</w:t>
      </w:r>
    </w:p>
    <w:p>
      <w:r>
        <w:rPr>
          <w:b/>
        </w:rPr>
        <w:t>E. 9</w:t>
      </w:r>
    </w:p>
    <w:p>
      <w:r>
        <w:t>Mit Beschluss vom 5. Juli 2016 wies der Stadtrat von Chur die gegen das Baugesuch erhobenen Einsprachen ab und erteilte der C._____ die Bau- bewilligung für das Bauvorhaben unter Bedingungen und Auflagen, unter anderem folgende: (5.1.4) Vor Baubeginn müssten dem Bausekretariat die Projektpläne für die Überdachung und die Einhausung der Verladerampe auf der Nordsei- te zur Genehmigung vorgelegt werden. (5.3.2) Vor Baubeginn müsse dem Bausekretariat ein überarbeiteter Um- gebungsplan mit allen detaillierten Angaben über die Erschliessung sowie über die Bepflanzung zur Genehmigung vorgelegt werden. Dabei müsse u.a. Folgendes beachtet und erfüllt werden: (-) der Platzbereich vor dem Haupteingang bis und mit Fuss-/Radweg müsse mit Anrampung/Schwelle als Begegnungszone ausgestattet wer-</w:t>
      </w:r>
    </w:p>
    <w:p>
      <w:r>
        <w:t>- 4 - den (Anhebung des gesamten Fussgängerbereichs; Durchfahrt für Motor- fahrzeuge nur im Schritttempo); (-) Die Fuss-/Radweg Nebenverbindung gemäss GGP entlang der Süd- fassade müsse zulasten der Parkplatztiefe auf 3.5 m verbreitert werden. Die Rabatte zu den Parkfeldern sei als Trennelement beizubehalten. Das Sichtfeld bei der Gebäudeecke Anlieferung Gartencenter müsse eingehal- ten werden; (-) eine klare optische/taktile Trennung (Führung Sehbehinderte) sei zwi- schen der Fahrbahn und dem Fussgängerbereich entlang der gesamten Westfassade vorzusehen. (5.3.4) Die flächenmässig nachgewiesene aber nicht zusammenhängen- de minimal erforderliche Grünfläche müsse mit zusätzlichen Bäumen, welche auch die Qualität der Parkierungsanlage bezüglich Beschattung verbesserten, ergänzt bzw. kompensiert werden. Der Stadtrat führte im Wesentlichen aus, betreffend die Rüge des man- gelhaften UVB, so habe sich das ANU mit dem UVB auseinandergesetzt und eine umfassende Beurteilung der umweltrelevanten Auswirkungen vorgenommen. Die von ihm beantragten Auflagen würden in die Baube- willigung übernommen. Was die gerügte Verletzung der Erstellungspflicht der Parkplätze anbelangt, hielt der Stadtrat insbesondere fest, bei einer realistischen Annahme sei vorliegend mit einem Anteil des Fuss- und Ve- loverkehrs zwischen 25 % und 50 % aller Einkaufenden (Standorttyp B) zu errechnen. Gemäss der VSS-Norm SN 640 281 könne beim Standort- typ B die Zahl der bereits bestehenden Parkplätze auf 40-60 % des Richtwert-Angebots reduziert werden Dies entspreche einem minimal er- forderlichen Angebot von insgesamt 216 Parkplätzen, das die Baubehör- de hier als angemessen erachte. Geplant seien 218 Parkplätze, so dass die Vorgaben erfüllt seien. Zur Rüge der Verletzung der Grünflächenziffer führte sie namentlich aus, gemäss Art. 45 Abs. 2 BG sei hier eine minima- le zusammenhängende Grünfläche von 15 % der Grundstücksfläche an- zulegen. Die nachgewiesene Grünfläche von 2'411 m2 ergebe 15.1 % der</w:t>
      </w:r>
    </w:p>
    <w:p>
      <w:r>
        <w:t>- 5 - Grundstücksfläche. Diese könne hier erstellt werden und dazu komme, dass das Manko an Grünfläche des bestehenden Baus kompensiert wer- de, weil bei der Erstellung des damaligen EKZ noch kein Erfordernis an Grünflächen bestanden und es auch keine entsprechende gesetzliche Grundlage für eine Verpflichtung zur Schaffung solcher Grünflächen ge- geben habe. Schliesslich stellte sie hinsichtlich des Einwands der Verlet- zung der Verkehrssicherheit im Wesentlichen fest, dass mit den entspre- chenden Auflagen im Baubescheid die Verkehrssicherheit gewährleistet werde.</w:t>
      </w:r>
    </w:p>
    <w:p>
      <w:r>
        <w:rPr>
          <w:b/>
        </w:rPr>
        <w:t>E. 10</w:t>
      </w:r>
    </w:p>
    <w:p>
      <w:r>
        <w:t>Dagegen erhoben die A._____ AG sowie die B._____ AG (nachfolgend: Beschwerdeführerinnen) am 9. September 2016 Beschwerde an das Verwaltungsgericht des Kantons Graubünden mit dem Antrag auf Aufhe- bung des angefochtenen Baubescheids. Die beantragte aufschiebende Wirkung wurde der Beschwerde vom Instruktionsrichter am 27. Septem- ber 2016 zuerkannt. Die Beschwerdeführerinnen machten im Wesentlichen geltend, schon 1993 habe der Stadtrat ein Gesuch zum Bau eines I._____ Marktes auf Parzelle 4058 insbesondere wegen der überlasteten D._____-strasse ab- gewiesen. Auf diese Erwägungen sei der Stadtrat auch heute noch zu behaften. In der Zwischenzeit seien neue Wohnüberbauungen dazuge- kommen, die Verkaufsfläche des EKZ sei gewachsen und der Verkehr habe auch zugenommen. Nach wie vor würden aber der überwiegende Teil der Kunden ein Fahrzeug zum Einkaufen benutzen. Das minimal erforderliche Parkplatzangebot werde nicht eingehalten. Die Annahme im UVB, wonach lediglich 50 % der Kunden mit dem Fahrzeug kämen sowie diejenige des Stadtrats, wonach diese Zahl zwischen 25 und 50 % liege, seien tatsachenwidrig. Zur Feststellung dieses Ver- hältnisses werde eine Expertise beantragt. Es dürfe nicht auf den Bericht "Mobilität in Graubünden" abgestellt werden. Gemäss VSS-Norm SN 640 281 sei der Standorttyp C massgebend und nicht der Standorttyp A</w:t>
      </w:r>
    </w:p>
    <w:p>
      <w:r>
        <w:t>- 6 - gemäss UVB und der Standorttyp B gemäss Baubewilligung. Dies ergebe ein realistisches Angebot von 65 %, also 352 Parkplätze. Im angefochte- nen Baubescheid werde das minimal erforderliche Parkplatzangebot auf insgesamt 216 Parkplätze festgelegt. Die Berechnungen der Bauherr- schaft und im UVB stützten sich aber nur auf 199 Parkplätze. Selbst damit fehlten dem Bauprojekt daher 17 Parkplätze. Der Nachweis der Einhaltung der Grünflächen sei für die gesamte Grund- stückfläche zu erbringen. Die von der Bauherrschaft angegebene Grün- fläche sei weder zusammenhängend noch mit Sträuchern und Bäumen durchsetzt. Selbst wenn nur auf die Erweiterung des Gebäudes abzustel- len wäre, wären die baugesetzlichen Voraussetzungen somit nicht erfüllt. Die im UVB angenommene Anzahl LKW-Fahrten (acht am Tag und zwei in der Nacht) seien auch angesichts der fünf geplanten Andockstationen für die Anlieferung unrealistisch. Der UVB müsste mit nachvollziehbaren Angaben über den Güterumschlag überarbeitet werden. Zudem sei das Verkehrspotential im UVB mit einer tatsachenwidrigen Begründung ver- kleinert worden. Die Bebauungsdichte rund um das EKZ sei überdurch- schnittlich hoch und das Einzugsgebiet weder klein noch endlich. Es re- sultiere eine zusätzliche Verkehrsbelastung von 1'620 Fahrten pro Tag. Ein Nachweis zur Einhaltung der LRV und der LSV fehle. Aufgrund der mangelhaften Angaben über den Güterumschlag und den nicht nachvoll- ziehbaren Lärmschutznachweis könne die Verhältnismässigkeit der Auf- lage, wonach vor Baubeginn die Projektpläne für Überdachung und Ein- hausung der Verladerampe zur Genehmigung vorgelegt werden müssen, nicht beurteilt werden. Durch die Einhausung werde die Grünflächenziffer reduziert und es fehle der Übergangsstreifen von 12 Parkfeldern, was zu deren Gesetzeswidrigkeit und damit deren Verlust führe. Zudem werde die Befahrbarkeit der Anlieferung und die Fussgängersicherheit bei der Trottoirüberfahrt verschärft. Das rechtliche Gehör sei im Übrigen verletzt worden, indem die Projektpläne für die Anlieferung ohne Publikation zur</w:t>
      </w:r>
    </w:p>
    <w:p>
      <w:r>
        <w:t>- 7 - Genehmigung vorgelegt worden wären. Zudem sei das Bausekretariat gar nicht zuständig dafür. Die Verkehrssicherheit werde auch durch die Auflagen im Baubescheid nicht gewährleistet. Das Schrägparkieren und die Trottoirüberfahrt bei der Anlieferung hätten zugunsten der Verkehrs- und Fussgängersicherheit nicht bewilligt werden dürfen. Der Verzicht auf die Schrägparkplätze führe zu einer Reduktion der Anzahl Parkplätze um 19 auf 172. Zur Abmessung der Schrägparkplätze müsste zudem nicht die Komfortstufe A, sondern B verwendet werden. Der Konfliktbereich auf der Nordseite, wo die Lastwagen der Anlieferung mit den zu den Parkplätzen fahrenden Autos kollidieren könnten, sei nicht verkehrssicher. Auch die Trottoirüberfahrt sei nicht verkehrssicher. Bei gewerblichen Grundstücknutzungen sei gemäss VSS-Norm SN 640 242 Art. 14.1 sowieso auf eine Trottoirüberfahrt zu verzichten. Die zur Trennung des Fahrstreifens und des Trottoirs vorgesehene Rigole entspreche nicht dem hindernisfreien bzw. behindertengerechten Bauen. Das Trottoir entlang des EKZ sei entgegen der VSS-Norm SN 640 070 zu schmal konzipiert.</w:t>
      </w:r>
    </w:p>
    <w:p>
      <w:r>
        <w:rPr>
          <w:b/>
        </w:rPr>
        <w:t>E. 11</w:t>
      </w:r>
    </w:p>
    <w:p>
      <w:r>
        <w:t>Am 27. Oktober 2016 beantragte die Stadt Chur (nachfolgend: Beschwer- degegnerin 1) die Abweisung der Beschwerde, sofern überhaupt darauf eingetreten werden könne. Sie führte im Wesentlichen aus, die Erwägun- gen des Stadtrates im Entscheid vom 1./8. März 1993 zum Verkehrsauf- kommen seien heute nicht massgebend. Die Erschliessungsverhältnisse hätten sich seit 1993 stark verbessert. Es brauche kein Gutachten zur Mobilitätsart, Verkehrsdichte und der da- mit zusammenhängenden Umweltbelastung. Das ANU habe sich mit dem UVB auseinandergesetzt und eine umfassende Beurteilung der umweltre- levanten Auswirkungen vorgenommen. Die damit zusammenhängenden Auflagen seien in den Baubescheid aufgenommen worden.</w:t>
      </w:r>
    </w:p>
    <w:p>
      <w:r>
        <w:t>- 8 - Die verlangte Grünfläche von 15 % der Grundstückfläche könne mit der Dachbegrünung und der Umgebung erstellt werden. Das Manko der be- stehenden Überbauung an Grünflächen könne verbessert werden. Weil hier ein Fuss- und Veloverkehrsanteil von 50 % und mehr grundsätz- lich möglich sei, könnte der Standorttyp A angenommen werden. Das Projekt liege an einem zentralen städtischen Standort und habe eine sehr gute Anbindung an den öffentlichen Verkehr (öV). Vorsichtigerweise sei hier vom Standorttyp B (mit 25-50 % Fuss- und Veloverkehrsanteil) und damit von 216 Parkplätzen ausgegangen. Die 199 Parkplätze gemäss bewilligten Plänen liessen sich dadurch begründen, dass die Emissionen an der Quelle begrenzt würden. So könne eine Verringerung der Luftbe- lastung bewirkt werden. Die VSS-Normen entbänden den Stadtrat nicht davon, auch die Umweltgesetzgebung und das Vorsorgeprinzip zu beach- ten. Die verlangte Erweiterung der Parkplatzanzahl um beinahe das Drei- fache sei geradezu absurd, weil die Verkaufsfläche mit der geplanten Er- weiterung nur um ca. 20 % erhöht werde. In Sachen Lärmschutz habe das ANU ausgeführt, dass die Anforderun- gen der LSV bezüglich Mehrverkehr erfüllt seien. Zur Bewilligung der Einhausung der Verladerampe werde das ordentliche Verfahren durchgeführt. Auch die Lärmsituation werde dannzumal noch- mals zu beurteilen sein. Was zur Sicherstellung der Verkehrs- und Fussgängersicherheit von der Bauherrschaft beim noch einzureichenden Umgebungsplan insbesondere beachtet werden müsse, sei in der Baubewilligung festgehalten. Eine Ge- fährdung der Einkaufenden sei auszuschliessen. Auf die gestützt auf den nicht bewilligten Plan "Verkehrsregelung/Trottoir Westfassade" vom 4. November 2015 erhobene Begründungen betreffend Trottoirbreite und schräger Parkierung sei nicht einzugehen. Mit Ziff. 5.3.2 des Baube- scheids werde die von den Beschwerdeführerinnen verlangte Trottoirbrei- te von 2.65 m eingehalten. Die Rigole werde nach den Vorgaben der Fachstelle Hindernisfreies Bauen erstellt. Schliesslich habe die Fachstelle</w:t>
      </w:r>
    </w:p>
    <w:p>
      <w:r>
        <w:t>- 9 - das Schrägparkieren nicht bemängelt. Für diesen Einwand fehle den Be- schwerdeführerinnen zudem die Legitimation.</w:t>
      </w:r>
    </w:p>
    <w:p>
      <w:r>
        <w:rPr>
          <w:b/>
        </w:rPr>
        <w:t>E. 12</w:t>
      </w:r>
    </w:p>
    <w:p>
      <w:r>
        <w:t>Am 26. Oktober 2016 beantragte die C._____ (nachfolgend: Beschwer- degegnerin 2) die Abweisung der Beschwerde, soweit darauf einzutreten sei. Sie argumentierte ähnlich wie die Beschwerdegegnerin 1. Ergänzend führte sie insbesondere aus, dass gemäss Baubehörde und ANU zur Im- missionsbeschränkung nur eine massvolle Erweiterung der Verkaufs- fläche (von 7'175 m2 um 1'978 m2 auf 9'153 m2) in Frage gekommen sei. Somit habe sich die Beschwerdegegnerin 2 entschlossen, nur 11 weitere Parkplätze vorzusehen. Das Erfordernis der zusammenhängenden Grünfläche in Art. 45 Abs. 2 BG sei so zu verstehen, dass ein zusammenhängendes Begrünungskon- zept bestehen müsse, was der Praxis der Baubehörde entspreche. Vorschriften über die minimale Parkplatzanzahl lägen nicht im nachbarli- chen, sondern im öffentlichen Interesse. Die Beschwerdeführerinnen als Nachbarn seien somit zu entsprechenden Rügen nicht legitimiert. Dass eine Beschränkung des Parkraums als Vorsorgemassnahme die durch den Individualverkehr verursachten Emissionen verringern könne, sei auch die Meinung des BAFU und des ARE des Bundes. Für die durch Auflage angeordnete Einhausung würden ein Baugesuch und ein revidierter UVB eingereicht. Bei einem Ist-Zustand von 1'850 Fahrten pro Tag gemäss den Beschwer- deführerinnen würden durch die 11 zusätzlichen Parkplätze 109 zusätzli- che Fahrten pro Tag generiert. Dies mache rund 2 % des gesamten Ver- kehrsaufkommens aus. Die Auswirkungen durch die 11 zusätzlichen Parkplätze seien somit so oder so marginal. Weder die Grünfläche noch die Anzahl Parkplätze würden durch die Ein- hausung der Verladerampe reduziert. Im Übrigen werde diesbezüglich ein ordentliches Baubewilligungsverfahren durchgeführt. Betreffend Ver- kehrssicherheit müssten aufgrund der Auflage Änderungen erfolgen. Vor</w:t>
      </w:r>
    </w:p>
    <w:p>
      <w:r>
        <w:t>- 10 - Baubeginn werde ein entsprechender Umgebungsplan eingereicht. Soll- ten sich publikationspflichtige Änderungen ergeben, würden diese publi- ziert (ordentliches Baubewilligungsverfahren). Somit mache es keinen Sinn, zu den Vorwürfen betreffend Rigole, Flächen, Trottoirüberfahrt etc. Stellung zu nehmen.</w:t>
      </w:r>
    </w:p>
    <w:p>
      <w:r>
        <w:rPr>
          <w:b/>
        </w:rPr>
        <w:t>E. 13</w:t>
      </w:r>
    </w:p>
    <w:p>
      <w:r>
        <w:t>Am 29. November 2016 hielten die Beschwerdeführerinnen replicando an ihren Anträgen unverändert fest und vertieften ihre in der Prozesseingabe eingenommenen Standpunkte.</w:t>
      </w:r>
    </w:p>
    <w:p>
      <w:r>
        <w:rPr>
          <w:b/>
        </w:rPr>
        <w:t>E. 14</w:t>
      </w:r>
    </w:p>
    <w:p>
      <w:r>
        <w:t>Mit Duplik vom 8. Dezember 2016 hielt die Beschwerdegegnerin 1 an ihren Anträgen fest und vertiefte ihre Standpunkte. Die Beschwerdegeg- nerin 2 verzichtete am 20. Dezember 2016 mit Verweis auf die Aus- führungen in der Vernehmlassung auf die Einreichung einer Duplik.</w:t>
      </w:r>
    </w:p>
    <w:p>
      <w:r>
        <w:rPr>
          <w:b/>
        </w:rPr>
        <w:t>E. 15</w:t>
      </w:r>
    </w:p>
    <w:p>
      <w:r>
        <w:t>%. c) Unbestritten ist, dass die anrechenbare Grünfläche (2'411 m2) des Projek- tes zur Abdeckung der notwendigen Grünfläche an sich genügen würde. Irrelevant ist, ob die Grünflächenziffer für die gesamte Grundstückfläche (die sich aus der bestehenden Fläche von 13'081 m2 und der erweiterten Fläche von 2'135 m2 zusammensetzt, also insgesamt 15'216 m2 beträgt) oder nur für die erweiterte Fläche (2'135 m2) zu erbringen ist. Denn unbe- stritten ist, dass die vorgesehene, anrechenbare Grünfläche von 2'411 m2 (wovon 1'196 m2 auf das Dach und 1'215 m2 auf die Umgebung entfallen)</w:t>
      </w:r>
    </w:p>
    <w:p>
      <w:r>
        <w:t>- 29 - die gemäss Art. 45 Abs. 2 BG bzw. Zonenschema (Art. 57 BG) verlangte Grünfläche von 15 % auch in Bezug auf die gesamte Grundstückfläche einhält. Umstritten ist jedoch, ob die Bodenbegrünung von 1'215 m2 zulässig ist bzw. ob es sich dabei um eine zusammenhängende Fläche handeln muss oder nicht. d) Die Beschwerdeführerinnen sind der Meinung, die Grünfläche diene städ- tebaulich der Sicherstellung eines natürlichen attraktiven Freiraums als Kontrapunkt zum überbauten Siedlungsbereich. Dies sei nur gewährleis- tet, wenn die Grünfläche am Boden zusammenhänge und als solche auch als unbebauter natürlicher Freiraum wahrgenommen werde. Hier sei die Grünfläche nicht zusammenhängend, sondern bestehe aus einer Vielzahl nicht zusammenhängender Kleinstflächen. Damit könne dieser Zweck nicht erfüllt werden. Die Beschwerdegegnerinnen halten dafür, dass nur ein entsprechendes Grünflächenkonzept (bzw. Begrünungskonzept), jedoch nicht eine zu- sammenhängende Grünfläche vorliegen müsse. Sie berufen sich auf die Praxis der Beschwerdegegnerin 1. Nach dieser Praxis sei der Zusam- menhang der Grünfläche auch gegeben, wenn mehrere Grünflächen auf dem gleichen Grundstück angelegt werden, welche durch befestigte Flächen (wie z.B. Parkplätze, Zufahrten, Fusswege, Sitzplätze, Wasser- flächen) getrennt sind (vgl. Stellungnahme des Bausekretariats vom 2. Mai 2017). e) Ausgangspunkt jeder Auslegung bildet der Wortlaut der Bestimmung. Ist der Text nicht ganz klar und sind verschiedene Auslegungen möglich, so muss nach seiner wahren Tragweite gesucht werden unter Berücksichti- gung aller Auslegungselemente, namentlich von Sinn und Zweck sowie der dem Text zugrunde liegenden Wertung. Wichtig ist ebenfalls der Sinn, der einer Norm im Kontext zukommt. Vom klaren Wortlaut eines Rechts- satzes darf nur abgewichen werden, wenn triftige Gründe dafür bestehen,</w:t>
      </w:r>
    </w:p>
    <w:p>
      <w:r>
        <w:t>- 30 - dass er nicht den wahren Sinn der Bestimmung wiedergibt. Solche Grün- de können sich aus der Entstehungsgeschichte der Bestimmung, aus ih- rem Grund und Zweck oder aus dem Zusammenhang mit andern Vor- schriften ergeben (BGE 139 V 66 E.2.2, 138 V 98 E.5.1, 134 V 208 E.2.2; vgl. HÄFELIN/HALLER/KELLER, Schweizerisches Bundesstaatsrecht, 9. Aufl., Zürich/Basel/Genf 2016, Rz. 92). Das Bundesgericht befolgt einen prag- matischen Methodenpluralismus und lehnt es namentlich ab, die einzel- nen Auslegungselemente (grammatikalisches, teleologisches, systemati- sches und historisches Element) einer hierarchischen Ordnung zu unter- stellen (BGE 137 V 410 E.4.1, 136 III 23 E.6.6.2.1, 136 V 195 E.7.1). f) Für die Betrachtungsweise der Beschwerdeführerinnen spricht unzwei- deutig der Wortlaut von Art. 45 Abs. 2 BG, wonach eine minimale zu- sammenhängende Grünfläche anzulegen ist. Das Adjektiv "zusammen- hängend" kann nur dahingehend verstanden werden, dass die Grünfläche nicht aufteilbar ist. Auch nach einer teleologischen Auslegung kann die betreffende Bestimmung nicht anders gedeutet werden, sind doch be- grünte Dachflächen dieser zufolge bis zur Hälfte der erforderlichen Grün- fläche anrechenbar, was ja nur bedeuten kann, dass die am Boden zu le- gende Grünfläche zusammenhängend sein muss. Der Gesetzgeber wollte offenbar auch in der Gemischten Zone eine zusammenhängende Grün- fläche, wohl wissend, dass sich diese Bestimmung mit der Parkplatzpflicht beissen könnte. Weitere Ausführungen zum historischem sowie systema- tischem Auslegungselement erübrigen sich damit. Die Bodengrünfläche muss gemäss Baugesetz folglich zusammenhängend sein, was hier un- bestrittenermassen nicht der Fall ist. Sofern die Beschwerdegegnerin 1 die Auffassung vertritt, der Gesetzeswortlaut verlange keine nahtlos zu- sammenhängende Grünfläche, sondern er liesse ein Zusammenhang der Grünflächen bzw. ein Begrünungskonzept genügen, kann ihr demnach nicht gefolgt werden. Allerdings ist nachfolgend zu prüfen, ob in dieser Hinsicht eine (gesetzeswidrige) Praxis der Beschwerdegegnerin 1 be-</w:t>
      </w:r>
    </w:p>
    <w:p>
      <w:r>
        <w:t>- 31 - steht, welche ein Recht auf Gleichbehandlung im Unrecht der Beschwer- degegnerin 2 begründet. g) Nur ausnahmsweise besteht ein Anspruch auf Gleichbehandlung im Un- recht, nämlich dann, wenn dieselbe Behörde in ähnlichen Fällen bisher in ständiger Praxis vom Gesetz abwich und ausserdem zu erkennen gibt, dass sie auch künftig nicht gesetzeskonform entscheiden wolle. Eine Ab- weichung in einem oder wenigen vereinzelten Fällen begründet jedoch noch keine Praxis. Überdies dürfen der Gleichbehandlung im Unrecht keine überwiegenden öffentlichen oder privaten Interessen an der An- wendung des Gesetzes entgegenstehen (vgl. Urteil des Bundesgerichts 1C_126/2016 vom 30. August 2016 E.7; BGE 136 I 65 E.5.6; HÄFE- LIN/MÜLLER/UHLMANN, Allgemeines Verwaltungsrecht, 7. Aufl., Zürich/St. Gallen 2016, Rz. 599; TSCHANNEN/ZIMMERLI/MÜLLER, Allgemeines Verwal- tungsrecht, 4. Aufl., Bern 2014, § 23 Rz. 19). h) Anlässlich des Augenscheins vom 10. Juli 2017 erläuterte der Leiter des Bausekretariats der Beschwerdegegnerin 1 die bereits in der Stellung- nahme vom 19. Juni 2017 dargelegte Praxis des Bausekretariats (vgl. da- zu auch die Stellungnahme des Bausekretariats vom 2. Mai 2017, Beilage 3 BG) betreffend Grünflächen gestützt auf bereits bewilligte Bauvorhaben (Beilagen 4-6 BG). Dagegen wandten die Beschwerdeführerinnen ein, damit werde keine Praxis nachgewiesen. Wie im vorliegenden Fall so fehlten dazu Pläne und ein Begrünungskonzept. Die Realisation von 199 Parkplätzen sei weder im Einklang mit der betreffenden Norm im Bauge- setz noch mit den VSS-Normen möglich. Die Praxis der Stadt könne nicht weitergeführt werden. i) Aus den von der Beschwerdegegnerin 1 eingereichten Beilagen zu den ebenso in der Gemischten Zone liegenden Anlagen an der K._____- strasse und an der E._____-strasse ergibt sich eindeutig, dass beim</w:t>
      </w:r>
    </w:p>
    <w:p>
      <w:r>
        <w:t>- 32 - Nachweis der erforderlichen Grünfläche auch verstreute Grüninseln mit- gezählt wurden. Zudem haben die Vertreter der Beschwerdegegnerin 1 unmissverständlich kundgegeben, dass sie an ihrer Praxis festhalten möchten. Schliesslich stehen der Anwendung dieser Praxis keine über- wiegenden Interessen an der wortlautreuen Anwendung des betreffenden Gesetzesartikels entgegen. Es ist nämlich nicht ersichtlich, weswegen auf dem hier strittigen Grundstück ein natürlicher zusammenhängender Frei- raum entstehen soll, befindet sich doch an dieser Stelle bereits heute ein Parkplatz. Wie die Beschwerdegegnerin 1 in ihrer Stellungnahme vom 19. Juni 2017 ausserdem vortrug, bezweckt die Grünfläche etwa nicht, einen natürlichen unbebauten Freiraum als Kontrapunkt zum überbauten Sied- lungsbereich sicherzustellen. Diesen Zweck erfüllen vielmehr die Grünzo- nen. Damit ist der Nachweis der nötigen Grünfläche gestützt auf die so- eben dargelegte Praxis der Beschwerdegegnerin 1 erbracht. 7. Nach dem vorstehend Gesagten erweist sich der angefochtene Bau- und Einspracheentscheid der Beschwerdegegnerin 1 vom 5. Juli 2016 als rechtens, was zur Bestätigung desselben und zur Abweisung der dage- gen erhobenen Beschwerde führt. 8. a) Bei diesem Ausgang des Verfahrens gehen die Gerichtskosten gestützt auf Art. 73 Abs. 1 VRG unter solidarische Haftbarkeit zulasten der Be- schwerdeführerinnen. b) Gemäss Art. 78 Abs. 1 VRG werden die im Rechtsmittelverfahren unter- liegenden Beschwerdeführerinnen überdies verpflichtet, der obsiegenden Beschwerdegegnerin 2 die durch den Rechtsstreit verursachten, notwen- digen Kosten zu ersetzen. Da der Rechtsvertreter der Beschwerdegegne- rin 2 trotz entsprechender Aufforderung keine Honorarnote einreichte, legt das Gericht die zuzusprechende Parteientschädigung gestützt auf Art. 2 und Art. 4 der Verordnung über die Bemessung des Honorars für Rechts-</w:t>
      </w:r>
    </w:p>
    <w:p>
      <w:r>
        <w:t>- 33 - anwältinnen und Rechtsanwälte (Honorarverordnung, HV; BR 310.250) nach Ermessen fest. In Anbetracht der Umstände des vorliegenden Ver- fahrens mit doppeltem Schriftenwechsel und durchgeführtem Augen- schein wird die von den Beschwerdeführerinnen unter solidarischer Haft- barkeit zu leistende Parteientschädigung pauschal auf Fr. 6'000.-- festge- setzt. Diese ist ohne MWST geschuldet, da die Beschwerdegegnerin 2 durch die Holding vorsteuerabzugsberechtigt ist.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der Beschwerdegegnerin 1 keine aussergerichtliche Entschädigung zuzu- 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