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54 vom 14. Februar 2017</w:t>
      </w:r>
    </w:p>
    <w:p>
      <w:r>
        <w:t>GR Gerichte, 2017-02-14, DE</w:t>
      </w:r>
    </w:p>
    <w:p>
      <w:r>
        <w:rPr>
          <w:b/>
        </w:rPr>
        <w:t xml:space="preserve">Quelle: </w:t>
      </w:r>
      <w:r>
        <w:t>https://mcp.opencaselaw.ch/entscheid/gr_gerichte_R_2016_54</w:t>
      </w:r>
    </w:p>
    <w:p>
      <w:r>
        <w:t>FR: GR_GERICHTE R 2016 54 du 14 février 2017</w:t>
      </w:r>
    </w:p>
    <w:p>
      <w:r>
        <w:t>IT: GR_GERICHTE R 2016 54 del 14 febbraio 2017</w:t>
      </w:r>
    </w:p>
    <w:p>
      <w:pPr>
        <w:pStyle w:val="Heading2"/>
      </w:pPr>
      <w:r>
        <w:t>Regeste</w:t>
      </w:r>
    </w:p>
    <w:p>
      <w:r>
        <w:t>Baueinsprache | Baurecht</w:t>
      </w:r>
    </w:p>
    <w:p>
      <w:pPr>
        <w:pStyle w:val="Heading2"/>
      </w:pPr>
      <w:r>
        <w:t>Erwägungen</w:t>
      </w:r>
    </w:p>
    <w:p>
      <w:r>
        <w:rPr>
          <w:b/>
        </w:rPr>
        <w:t>E. 5</w:t>
      </w:r>
    </w:p>
    <w:p>
      <w:r>
        <w:t>Am 6. Oktober 2016 beantragte die B._____ GmbH (nachfolgend: Be- schwerdegegnerin 2), die Beschwerde sei abzuweisen, soweit darauf ein- zutreten sei. Die Bauherrschaft B._____ GmbH sei Beschwerdegegnerin. Das Bau- grundstück gehöre zur Zeit noch E._____, welcher das Baugesuch und die Vollmacht mitunterzeichnet habe. Die Bauprofile würden bis zur Erledigung des Streitfalles stehen gelassen. In der Kernzone C gelte gemäss Art. 24 BG in der Regel die offene Bau- weise. Die geschlossene Bauweise könne im Rahmen einer Quartierge- staltungsplanung oder entlang bestehender Strassenzüge bewilligt wer- den. Entgegen der irrtümlicherweise von der Vorinstanz angenommenen, geschlossenen Bauweise werde hier in offener Bauweise gebaut. Der Grenzabstand betrage 2.5 m (Art. 9 BG, Zonenschema). Gegenüber Par- zelle 578 sei entlang der gesamten gemeinsamen Grenze ein gegenseiti- ges Grenzbaurecht errichtet und eingetragen worden. Das Projekt unterschreite den Grenzabstand von 2.5 m nur im Norden von Parzelle 577 gegenüber Parzelle 574 des Beschwerdeführers, bei Kreismessung um den Grenzpunkt, geringfügig durch einen Treppenlauf samt Hinterbau, was gemäss Art. 20 BG (Hofstattrecht) möglich sei. Der Treppenaufgang zur Dachterrasse im 1. OG beanspruche das Hofstatt- recht, wobei zu Gunsten des beschwerdeführenden Nachbars festzustel- len sei, dass der Neubau gegenüber dem Altbau von Parzellen 575 im hintersten Bereich und 574 an der Südgrenze als bisheriger Grenzbau um 2.61 von Parzelle 575 und auf einer Teillänge von Parzelle 574 zurückge- nommen werde, so dass der ordentliche Grenzabstand eingehalten sei.</w:t>
      </w:r>
    </w:p>
    <w:p>
      <w:r>
        <w:t>- 8 - Gegen Norden respektive gegenüber einer Teilfläche von Parzelle 574 sei der Hauptbau ebenfalls 2.5 m von der Grenze weggerückt. Nur der zwi- schen der Treppe und dem Hauptbau geplante und durch das Hofstatt- recht garantierte Bauteil krage seiner geringen Überhöhe wegen in einem kleinen Bereich in den Grenzabstand ein. Mit dem Abrücken von der Grenze und dem Wegfallen eines grossen Teils des aus Besitzstand im Hofstattrecht realisierbaren Bauvolumens werde der bisherige Zustand für den Beschwerdeführer stark verbessert, weswegen gestützt auf Art. 20 Abs. 2 BG die geringfügige Abweichung bezüglich Höhe des Volumens zu Recht bewilligt worden sei. Das Bauvorhaben sei von Anbeginn von der Baukommission mit exter- nem Gestaltungsberater geprüft und beurteilt worden (Art. 21 Abs. 3 BG). Der geplante Bau grenze an eine Strasse mit erhöhten Gestaltungsanfor- derungen. Im hier zur Diskussion stehenden Strassenabschnitt sei die Hauptstrasse zur Hauptsache von längeren Gebäudefluchten gesäumt und die Fassaden würden durch Vor- respektive Rücksprünge gegliedert, was das Bauprojekt berücksichtige. Die der Strasse zugekehrte Fassade sei projektbezogen mit Baukommission und Bauberater besprochen, mehrmals umgestaltet und modifiziert worden. Jetzt sei sie gesetzeskon- form. Die vom Grundstück des Beschwerdeführers abgekehrte Fassade wirke sich auf sein Eigentum nicht aus. Die Gestaltung und Gliederung liege einzig im öffentlichen Interesse. Die Beschwerde sei in diesem Punkt ab- zuweisen, sofern darauf eingetreten werde. Die Höhen in der Kernzone C von 14 m (Gesamthöhe) und 10.5 m (trauf- seitige Fassadenhöhe) gemäss Art. 9 BG seien eingehalten. Die Gesamt- höhe werde nach den IVHB-Skizzen samt Erläuterungen ermittelt.</w:t>
      </w:r>
    </w:p>
    <w:p>
      <w:r>
        <w:rPr>
          <w:b/>
        </w:rPr>
        <w:t>E. 6</w:t>
      </w:r>
    </w:p>
    <w:p>
      <w:r>
        <w:t>Am 7. Oktober 2016 wurde das Verfahren vom Instruktionsrichter zwecks Findung einer vergleichsweisen Lösung bis 31 Oktober 2016 sistiert. Am 31. Oktober 2016 ersuchte die Beschwerdegegnerin 1 um Fortführung des Verfahrens, da keine solche Lösung gefunden worden sei.</w:t>
      </w:r>
    </w:p>
    <w:p>
      <w:r>
        <w:t>- 9 -</w:t>
      </w:r>
    </w:p>
    <w:p>
      <w:r>
        <w:rPr>
          <w:b/>
        </w:rPr>
        <w:t>E. 7</w:t>
      </w:r>
    </w:p>
    <w:p>
      <w:r>
        <w:t>Am 23. November 2016 hielt der Beschwerdeführer replicando an seinen Anträgen fest. Zudem sei die Beschwerdegegnerin 2 aufzufordern, dem Gericht sämtliche Baubewilligungsakten einzureichen. Es sei offenzulegen, wer der Gestaltungsberater sei und die Korrespon- denz mit diesem sei ebenfalls zu edieren. Der Dienstbarkeitsvertrag betreffend Parzelle 578 tue hier nichts zur Sa- che. Der Beschwerdeführer sei nicht Eigentümer von Parzelle 578, son- dern von Parzellen 574, 575 und 576. Bisher hätten die Beschwerdegegner immer von einer geschlossenen Bauweise gesprochen. Im Einspracheentscheid sei festgehalten worden, dass eine geschlossene Bauweise nach Art. 17 BG vorliege. Somit müss- te ein rückwärtiger Grenzabstand von 4 m eingehalten werden und ge- genüber Strassenparzellen müsse kein Grenzabstand beachtet werden. Im Dispositiv des Einspracheentscheides sei bestätigt worden, dass die geschlossene Bauweise zum Tragen komme. Auch das Tiefbauamt sei von einer geschlossenen Bauweise ausgegan- gen. Die Ausnahmebewilligung für die Unterschreitung der Strassenab- standsvorschriften sei vor dem Hintergrund der geschlossenen Bauweise erteilt worden. Heute behaupte die Beschwerdegegnerin 1, der Begriff "geschlossene Bauweise" sei irreführend. Würde von einer offenen Bauweise ausgegangen, kämen die Grenzab- standsvorschriften gemäss Art. 9 BG für die Kernzone C zum Tragen. Überall wäre ein Grenzabstand von 2.5 m einzuhalten, auch gegenüber der Strassenparzelle 584. Mit der neu geplanten Baute werde dieser Ab- stand unterschritten. Somit würden die Grenzabstandsvorschriften so oder so verletzt. Auf das Hofstattrecht könne sich die Beschwerdegegnerin 2 nicht beru- fen, weil die Situation für den Beschwerdeführer massgeblich verschlech- tert werde und der Treppenaufgang mit Zwischenbau ausserhalb des Vo- lumens liege. Zwischenbau und Treppenaufgang seien wesentlich höher als die bestehenden Garagen.</w:t>
      </w:r>
    </w:p>
    <w:p>
      <w:r>
        <w:t>- 10 - Die Begrenzung der Gebäudelänge diene einerseits dem Schutz der Nachbarn vor überdimensionierten Baukörpern und andererseits dem po- sitiven Erscheinungsbild. Maximale Gebäudelängen verhinderten die vollständige Verdichtung von Grundstücken. Ausnahmen von Vorschriften über die Gebäudelänge seien gemäss Art. 82 KRG restriktiv zu bewilligen. Durch Ausnahmebewilligungen, die auch ihn schützten, dürfe ein Nachbar nicht unzumutbar benachteiligt werden. Die Gewichtung der Interessen habe willkürfrei zu erfolgen. Die Gebäudelänge direkt angrenzend an die Grundstücke des Beschwer- deführers werde mit 21.9 m um knapp 10 m überschritten. Die gesamte Grundstückstiefe werde ausgeschöpft. Dies wirke sich für den Beschwer- deführer umso gravierender aus, weil auch die maximale Gebäudehöhe ausgeschöpft werde und in der Kernzone keine Ausnutzungsziffer als Korrektiv wirke. Die Nachbarliegenschaften würden erdrückt, weswegen keine Ausnahmebewilligung erteilt werden dürfe. Die nachbarlichen priva- ten Interessen würden negiert. Die Einhaltung der Bauvorschriften sei keine unverhältnismässige Härte. Die Beschwerdegegnerin 2 verhalte sich widersprüchlich. Aus der Skizze der IVHB-Masse gehe hervor, dass sich die Oberkante der Dachkonstruk- tion oberkant des Dachsparrens befinde, der über die Fassade hinausra- ge. Die von der Beschwerdegegnerin 2 eingezeichnete, imaginäre gestri- chelte Linie irgendwo im Gebäudeinnern sei nicht die Oberkante der Dachkonstruktion.</w:t>
      </w:r>
    </w:p>
    <w:p>
      <w:r>
        <w:rPr>
          <w:b/>
        </w:rPr>
        <w:t>E. 8</w:t>
      </w:r>
    </w:p>
    <w:p>
      <w:r>
        <w:t>Am 29. November 2016 hielt die Beschwerdegegnerin 2 duplicando an ihren Anträgen fest. Wenn die Beschwerdegegnerin 1 (Bauamt) im Baubescheid irrtümlicher- weise festhalte, sie sei von der geschlossenen Bauweise ausgegangen, dürfe dies nicht zum Nachteil des Baugesuchstellers gereichen. Es spiele auch keine Rolle, weil das Bauprojekt dem Zonenplan und dem Bauge- setz entspreche.</w:t>
      </w:r>
    </w:p>
    <w:p>
      <w:r>
        <w:t>- 11 - Die Baukommission habe das Projekt vor der Antragstellung an den Ge- meindevorstand (Baubehörde) mehrmals überprüft und abgeändert. Der Baukommission stehe F._____ vor, Architekt mit Büro und Wohnsitz in Y._____, der in seiner Eigenschaft als Baukommissionspräsident ständi- ger Berater sei, der bei allen von der Baukommission zu behandelnden Baugesuchen als Fachkundiger mitmache. Er habe das Projekt persönlich begleitet, über die Kommission die Abänderungen mit der Bauherrschaft abgesprochen und dann den Antrag über die Kommission in die Bau- behörde eingebracht. In dieser Eigenschaft habe er sich vor Ort und dann am 28. Januar und am 18. Februar 2016 mit dem Bauvorhaben befasst, worauf die Baukommission dann die entsprechenden Anträge zur Ge- nehmigung des Bauvorhabens der Baubehörde gestellt habe. Die vom Beschwerdeführer zur Edition verlangten Unterlagen (Dossier der Bau- kommission) seien von der Beschwerdegegnerin 1 somit bereits ediert worden. Die Frage der geringsten Umschichtung vorbestandenen Bauvolumens gestützt auf Art. 20 Abs. 2 BG stehe nicht mehr im Raum, weil die Bauge- suchstellerin sich entschieden habe, die Treppe in der Nordwestecke so auszugestalten, dass das gesamte neue Volumen innerhalb des vorbe- standenen Gebäudes ohne Erweiterung erstellt werde. Dies ergebe sich aus den zum Verfahren gelegten Plänen.</w:t>
      </w:r>
    </w:p>
    <w:p>
      <w:r>
        <w:rPr>
          <w:b/>
        </w:rPr>
        <w:t>E. 9</w:t>
      </w:r>
    </w:p>
    <w:p>
      <w:r>
        <w:t>Die Beschwerdegegnerin 1 verzichtete auf die Einreichung einer Duplik.</w:t>
      </w:r>
    </w:p>
    <w:p>
      <w:r>
        <w:rPr>
          <w:b/>
        </w:rPr>
        <w:t>E. 10</w:t>
      </w:r>
    </w:p>
    <w:p>
      <w:r>
        <w:t>Am 23. Dezember 2016 nahm der Beschwerdeführer triplicando zur Du- plik der Beschwerdegegnerin 2 vom 29. November 2016 Stellung. Die Gegenpartei habe die Beschwerde in einem wesentlichen Punkt an- erkannt, indem der Treppenaufgang auf der Nordwestseite des Gebäudes neu gestaltet werde. Damit erübrigt sich die Durchführung eines Augen- scheins. Die Beschwerde sei infolge Anerkennung gutzuheissen. Die Be- schwerdegegnerin 1 habe ein neues Baugesuch aufzulegen. Projektände- rungen während laufendem Beschwerdeverfahren seien nicht zulässig.</w:t>
      </w:r>
    </w:p>
    <w:p>
      <w:r>
        <w:t>- 12 - Eine Beurteilung durch die Beschwerdegegnerin 1 habe nicht stattgefun- den. Drittinteressen könnten tangiert sein. Auf Seite 2 der Duplik des Beschwerdeführers werde ausgeführt, F._____ habe das Projekt als Baukommissionspräsident begleitet. Er habe den Antrag über die Kommission in die Baubehörde eingebracht. In den edier- ten Unterlagen der Beschwerdegegnerin 1 finde sich nicht ein einziges Dokument, welches diese Vorgänge beweise. Die Anträge wären schrift- lich zu stellen oder zumindest zu protokollieren. Der Beschwerdeführer gehe davon aus, dass interne Unterlagen vorlägen und verlange deren Edition.</w:t>
      </w:r>
    </w:p>
    <w:p>
      <w:r>
        <w:rPr>
          <w:b/>
        </w:rPr>
        <w:t>E. 11</w:t>
      </w:r>
    </w:p>
    <w:p>
      <w:r>
        <w:t>Zur Triplik des Beschwerdeführers trug die Beschwerdegegnerin 2 am 27. Dezember 2016 vor, dass sich der Vertreter der Beschwerdegegnerin 1 anlässlich des bereits angesetzten Augenscheins zur geringfügigen Re- dimensionierung des Bauvolumens (äusseren Treppenaufgangs) äussern werde. Der Vertreter des Beschwerdeführers möge dann erklären und begründen, wo er eine Verletzung von Drittinteressen sehe, die ein neues Baugesuch verlangen könnten. Das gelte auch für seine Ausführungen betreffend Nachweis der ständigen Bauberatung durch den Baukommis- sionspräsidenten F._____.</w:t>
      </w:r>
    </w:p>
    <w:p>
      <w:r>
        <w:rPr>
          <w:b/>
        </w:rPr>
        <w:t>E. 12</w:t>
      </w:r>
    </w:p>
    <w:p>
      <w:r>
        <w:t>Am 11. Januar 2017 führte das Verwaltungsgericht einen Augenschein durch, an welchem der Beschwerdeführer und sein Rechtsanwalt; seitens der Beschwerdegegnerin 1: das für den Hochbau zuständige Mitglied des Gemeindevorstands, der Leiter des Bauamts und der Baukommissions- präsident; seitens der Beschwerdegegnerin 2: G._____ und H._____ und ihr Rechtsanwalt; sowie der Grundstückeigentümer anwesend waren.</w:t>
      </w:r>
    </w:p>
    <w:p>
      <w:r>
        <w:rPr>
          <w:b/>
        </w:rPr>
        <w:t>E. 13</w:t>
      </w:r>
    </w:p>
    <w:p>
      <w:r>
        <w:t>Am 23. Januar 2017 wies die Beschwerdegegnerin 2 im Rahmen ihrer Stellungnahme zum Augenscheinprotokoll und -aufnahme darauf hin, dass der Richter zu entscheiden habe, ob der Beschwerdeführer mit sei-</w:t>
      </w:r>
    </w:p>
    <w:p>
      <w:r>
        <w:t>- 13 - nen Aussagen anlässlich des Augenscheins seine Einwände gegen das Projekt zurückgezogen habe. Das Gericht zieht in Erwägung: 1. Anfechtungsobjekt bilden hier der Baubescheid und der Einspracheent- scheid der Beschwerdegegnerin 1, beide vom 8. August 2016 (mitgeteilt am 16. August 2016), womit sie dem Bauprojekt der Beschwerdegegnerin 2 die Bewilligung unter Bedingungen und Auflagen erteilte resp. die da- gegen vom Beschwerdeführer erhobene Einsprache abwies soweit sie darauf eintrat. Die Zuständigkeit des Verwaltungsgerichts ist ohne Weite- res gegeben (vgl. Art. 49 Abs. 1 lit. a des Gesetzes über die Verwaltungs- rechtspflege [VRG; BR 370.100]). Der Beschwerdeführer ist als Adressat des Einspracheentscheids und als Eigentümer der angrenzenden Parzel- len beschwert und damit zur Erhebung der Beschwerde legitimiert (Art. 50 VRG). Die Beschwerde wurde im Übrigen frist- und formgerecht (Art. 52 Abs. 1 und Art. 38 VRG) eingereicht, weshalb darauf einzutreten ist. 2. Strittig und zu klären ist hier, ob die Bewilligungserteilung im Einklang mit den bestehenden kommunalen und kantonalen Bauvorschriften erfolgte. Insbesondere zu überprüfen ist, ob der Grenzabstand verletzt wird, die Berufung auf das Hofstattrecht rechtens ist und die Gebäudelängen bzw. -höhen eingehalten werden. 3. Vorab ist bezüglich des in der Replik vom 23. November 2016 vom Be- schwerdeführer gestellten Antrags um Edition sämtlicher Baubewilli- gungsakten seitens der Beschwerdegegnerin 1 festzuhalten, dass sich dieser gemäss Begründung auf die Korrespondenzen und Einschätzun- gen des externen Bauberaters bezog. Der Bauberater, Dipl. Arch. F._____, ist Präsident der Baukommission, weswegen hier bloss Akten der Baukommission existieren. Diese wurden jedoch am 4. November</w:t>
      </w:r>
    </w:p>
    <w:p>
      <w:r>
        <w:t>- 14 - 2016 von der Beschwerdegegnerin 1 bereits ediert. Der Antrag ist des- halb gegenstandlos. 4. Die für das Bauvorhaben vorgesehene Parzelle 577 befindet sich in der Kernzone C. Dabei gilt die offene Bauweise. Die geschlossene Bauweise kann nur im Rahmen einer Quartiergestaltungsplanung oder entlang be- stehender Strassenzüge bewilligt werden (Art. 24 Abs. 1 BG). Entgegen der ursprünglichen Auffassung der Beschwerdegegnerin 1 im angefoch- tenen Einspracheentscheid vom 8. August 2016, die offenbar aufgrund des sich angrenzend an die Bauparzelle befindenden Strassenzugs an der D._____-strasse von einer geschlossenen Bauweise (Art. 17 BG) ausging, kommt hier – wie sie nun selbst einräumt – im Einklang mit Art. 24 Abs. 1 BG die offene Bauweise zur Anwendung. 5. a) Der Beschwerdeführer behauptet, dass auch bei Geltung der offenen Bauweise die Grenzabstandsvorschriften verletzt wären. b) Unbestritten ist, dass der in der Kernzone C gemäss Zonenschema (Art. 9 BG) geltende Grenzabstand von 2.5 m gegenüber Parzelle 578 nicht ein- gehalten wird. Entlang der Grenze zwischen den Parzellen 577 und 578 wurde aber ein gegenseitiges Grenzbaurecht für eingeschossige An- und Kleinbauten, in der Höhe beschränkt, errichtet und eingetragen (vgl. Bg2- act. 2). Hier ist die projektierte Dachterrasse resp. die darunterliegende Einstellgarage auf der Nordwestseite gegenüber Parzelle 578 einge- schossig und gilt offensichtlich als Anbaute im Sinne des eingeräumten, im Grundbuch eingetragenen Näherbaurechts, weshalb der Grenzab- stand nicht eingehalten werden muss.</w:t>
      </w:r>
    </w:p>
    <w:p>
      <w:r>
        <w:t>- 15 - c) Ebenso unumstritten ist, dass der oberwähnte Grenzabstand gegenüber Parzelle 574 im Nordwesten der Parzelle 577 durch den Aussentreppen- aufgang bei Kreismessung um den Grenzpunkt überschritten wird. Dabei beruft sich der Beschwerdeführer auf das Hofstattrecht, das in Art. 20 Abs. 1 BG wie folgt geregelt ist: "In der Kernzone dürfen rechtmässig erstellte Bauten nach Zerstörung und Abbruch ohne Rücksicht auf die geltenden Vorschriften der Regel- bauweise über die Grenz- und Gebäudeabstände, Gebäudelänge und Gesamthöhe in ihrer bisherigen Lage und Ausdehnung wieder aufgebaut werden, wenn keine überwiegenden öffentlichen Interessen entgegenste- hen und das Baugesuch für den Wiederaufbau innert drei Jahren nach der Zerstörung bzw. nach dem Abbruch eingereicht wird. In begründeten Fällen kann diese Frist um ein Jahr verlängert werden. Zweckänderungen sind zulässig. Der Altbestand ist von der Bauherrschaft durch Pläne zu dokumentieren; fehlen Pläne, sind die Gebäudemasse des Altbaus im Einvernehmen mit der Baubehörde festzulegen". Das Hofstattrecht als solches dient also der Erhaltung des Bisherigen und nicht der Weiterentwicklung oder Ausdehnung. Es stellt eine Bestandes- garantie dar, die es dem Grundeigentümer gestattet, sein zerstörtes oder baufällig gewordenes Haus ungeachtet abgeänderter Baugesetze bezüg- lich der Gebäudehöhe- und der Grenzabstände und der Ausnützung in der bisherigen Ausdehnung wieder zu erstellen. Das Hofstattrecht verleiht dem Eigentümer eines vor entsprechenden Gesetzesänderungen bereits überbauten Grundstückes gegenüber jenem einer unüberbauten Parzelle eine privilegierte Stellung, indem sich der Eigentümer einer überbauten Liegenschaft hinsichtlich des Wiederaufbaues eines schon bestandenen Gebäudes nicht an die neuen Bauvorschriften halten muss. Dieser Ei- gentümer wird daher für bestehende Bauten vor Einschränkungen der aus der Eigentumsgarantie fliessenden Baufreiheit, welche durch Ände- rungen der Bauvorschriften entstehen können, weitgehend geschützt.</w:t>
      </w:r>
    </w:p>
    <w:p>
      <w:r>
        <w:t>- 16 - Denn er kann dort, wo sich der neu bauende Eigentümer an die ordentli- chen Bauvorschriften halten muss, weitgehend ohne Rücksicht darauf wieder aufbauen. Diese Möglichkeit zu erheblichen Ausnahmen vom je- weils geltenden Baurecht steht sowohl im Gegensatz zum öffentlichen In- teresse an einer einheitlichen Durchsetzung der Bauordnung als auch zu jenem des Nachbarn, der grundsätzlich nicht gehalten ist, eine über das gesetzlich Erlaubte hinausgehende Nutzungsintensität auf dem Nachbar- grundstück zu dulden. Diese entgegenstehenden öffentlichen und priva- ten Interessen gebieten es, das Hofstattrecht, das als kodifizierte Aus- nahmebewilligung betrachtet werden kann, restriktiv zu handhaben (vgl. PVG 1990 Nr. 14). Daneben gilt es aber das Verhältnis des Hofstattrech- tes zu den ordentlichen Bauvorschriften zu beachten. Zunächst ist darauf hinzuweisen, dass es an sich selbstverständlich ist, dass der Eigentümer einer bereits überbauten Liegenschaft sein Haus im Einklang mit den je- weils geltenden ordentlichen Bauvorschriften ausbauen, umbauen oder erweitern darf. Der Sinn des Hofstattrechtes besteht darin, Eigentümer bestehender Bauten in ihrem Besitzstand zu schützen. Es wäre wider- sprüchlich, sie auf der anderen Seite wieder dadurch einzuschränken, dass ihnen das Bauen im Rahmen der ordentlichen Bauvorschriften ver- wehrt wird. Dadurch würde die möglichst weitgehende Erhaltung der Bau- freiheit, die mit dem Hofstattrecht bezweckt wird, wieder in ihr Gegenteil verkehrt. Wo demnach neben einem Wiederaufbau im Hofstattrecht noch eine Erweiterung des Gebäudes aufgrund der ordentlichen Bauvorschrif- ten möglich ist, muss dies in Nachachtung des Grundsatzes der Baufrei- heit auch gestattet werden. Man kann sich dies am Beispiel eines nicht zerstörten oder abgerissenen Altbaues veranschaulichen: Ein solches Gebäude darf ohne weiteres im Rahmen der geltenden Bauvorschriften erweitert werden. Wenn also die Ausnützungsziffer noch nicht konsumiert, die erlaubte Höhe oder Geschosszahl nicht erreicht ist, muss beispiels- weise eine Aufstockung bewilligt werden. Dabei ist es selbstverständlich, dass die zusätzlichen Stockwerke gegenüber dem unterliegenden Ge- bäudeteil nach neuem Recht allenfalls grössere Grenzabstände einhalten</w:t>
      </w:r>
    </w:p>
    <w:p>
      <w:r>
        <w:t>- 17 - müssen. Es ist nicht einzusehen, warum diese Regel nicht auch bei Wie- deraufbauten im Hofstattrecht gelten soll, da ja durch dieses Institut der Grundeigentümer bevorzugt werden soll (vgl. PVG 1986 Nr. 24; vgl. zum Ganzen Urteil des Verwaltungsgerichts des Kantons Graubünden R 06 60 vom 24. Oktober 2006 E.5c m.w.H.). Gestützt auf das Hofstattrecht kann eine Baute somit abgerissen und oh- ne Einhaltung der geltenden Bauvorschriften wieder aufgebaut werden. Darüber hinaus kann neben dem Wiederaufbau auch eine Erweiterung er- folgen, falls sie im Einklang mit den geltenden Bauvorschriften steht. Das vorliegende kommunale Baugesetz geht – wie im Übrigen auch das MBauG 05 – noch weiter und lässt gestützt auf das Hofstattrecht unter gewissen Bedingungen auch eine Erweiterung entgegen den geltenden Bauvorschriften zu. Art. 20 Abs. 2 BG schreibt nämlich vor, dass Abwei- chungen bezüglich Lage und Ausdehnung gestattet sind, wenn dadurch der bisherige Zustand verbessert wird und keine überwiegenden nachbar- lichen Interessen entgegenstehen. d) Vorliegend hat die Bauherrschaft die Gestaltung des Aussentreppenauf- gangs auf der Nordwestseite, der vom Erdgeschoss auf die Sitzplatz- fläche des 1. Obergeschosses führt, gemäss den im Beschwerdeverfah- ren eingereichten Plänen (Bg2-act. 15) erneut (eine Änderung erfolgte be- reits nach Eingabe des ersten Baugesuchs mit dem hier interessierenden, zweiten Baugesuch), geändert. Der den Grenzabstand zu Parzelle 574 nicht einhaltende Treppenteil befindet sich nun vollständig innerhalb des Grundrisses der bestehenden, eingeschossigen Garagenbaute. Somit wird das hier interessierende Volumen auf der Nordwestseite, welches den Grenzabstand nicht einhält, innerhalb des vorbestandenen Gebäudes ohne Erweiterung erstellt. Die Frage, ob die Veränderung des vorbestan- denen Bauvolumens gestützt auf Art. 20 Abs. 2 BG gestattet sei, hat sich damit erübrigt.</w:t>
      </w:r>
    </w:p>
    <w:p>
      <w:r>
        <w:t>- 18 - Entgegen der Auffassung des Beschwerdeführers wird die Beschwerde dadurch nicht in einem wesentlichen Punkt anerkannt. Vor der von der Beschwerdegegnerin 2 im Beschwerdeverfahren dargestellten Projektän- derung ging die Beschwerdegegnerin 2 nämlich von der Zulässigkeit der projektierten Aussentreppe aus, nur erachtete sie die geringfügige Abwei- chung gestützt auf Art. 20 Abs. 2 BG als berechtigt. Nach Einreichung der Projetanpassung stützt sie ihre Argumentation bezüglich Einhaltung des Grenzabstandes nun auf Art. 20 Abs. 1 BG allein. Es liegt keine Anerken- nung vor, sondern eine blosse Anpassung der Argumentationslinie. Schliesslich stehen hier der Beanspruchung des Hofstattrechts auch kei- ne überwiegenden privaten Interessen entgegen, zumal sich der bisherige Zustand für den angrenzenden Beschwerdeführer verbessert. Vor der Treppe entsteht nämlich ein Freiraum auf Parzelle 577, der bisher mit der Garage auf der gemeinsamen Grenze der Parzelle 577, 574 und 575 überbaut war. Da das Hofstattrecht nur im Bereich des Treppenaufgangs beansprucht wird, ist eine Veränderung gegenüber dem bisherigen Zu- stand nur hinsichtlich dieses Bereichs zu würdigen. Deshalb kann der auf die Wirkung des gesamten Neubaus abstellenden Argumentation des Be- schwerdeführers, wonach der Neubau, im Gegensatz zu den bestehen- den Garagen, die den Nachbargrundstücken kein Licht nähmen, seine Parzellen erdrücke und somit seine Situation verschlechtere, nicht gefolgt werden. Der mehrgeschossige Bau verletzt die Grenzabstandsvorschriften somit nicht. e) Der Beschwerdeführer macht zudem geltend, dass Projektänderungen im laufenden Beschwerdeverfahren nicht zulässig seien, weshalb die Be- schwerdegegnerin 2 ein neues Baugesuch aufzulegen habe. Diese Rüge geht fehl. Die geringfügige Anpassung der Aussentreppe tangiert keine Rechte Dritter, im Gegenteil, sie erfüllt nun – wie oben beschrieben – die</w:t>
      </w:r>
    </w:p>
    <w:p>
      <w:r>
        <w:t>- 19 - Voraussetzungen des Hofstattrechts, ohne dass die Ausnahmeregel für Abweichungen und Ausdehnungen (Art. 20 Abs. 2 BG) anzuwenden wä- re. 6. a) Der Beschwerdeführer rügt weiter eine Überschreitung der maximal zulässigen Gebäudelängen.</w:t>
      </w:r>
    </w:p>
    <w:p>
      <w:r>
        <w:t>b) Für die Gebäudelänge gilt in der Kernzone C aufgrund von Art. 9 BG (Zo- nenschema, Fussnote 7) der Artikel über die Kernzone B (Art. 23 BG). Dieser schreibt in Abs. 2 vor, dass bei offener Bauweise die Gebäudelän- gen bzw. -breiten gegenüber Strassen und Gassen 12 m nicht überschrei- ten dürfen. Die Gebäudetiefe ist nach architektonischen Kriterien zu be- stimmen. In besonderen Fällen und, soweit eine architektonisch gute Lö- sung gewährleistet wird, kann der Gemeindevorstand Abweichungen be- willigen. In den Kernzonen soll die bestehende Strassenbebauung in der typischen Siedlungsstruktur erhalten und ergänzt werden (Art. 19 Abs. 2 BG). Die an der D._____-strasse gelegene Parzelle 577 befindet sich gemäss Zo- nenplan und generellem Gestaltungsplan (GGP) zudem in einem Stras- senbereich mit erhöhten Gestaltungsanforderungen. Dabei sind Bauvor- haben vor Ausarbeitung des Bauprojekts bei der Baubehörde anzumel- den. Die Baubehörde legt zusammen mit der Bauherrschaft und bei Be- darf unter Beizug der Gestaltungsberatung die gestalterischen Rahmen- bedingungen für die Entwicklung eines strassen- und platzraumbildenden, ortsbaulich qualitätsvollen Projekts fest (Art. 43b BG). Gemäss Art. 21 Abs. 2 BG unterliegen Bauvorhaben in den Kernzonen in Bezug auf ge- stalterische Fragen einer vorläufigen Beurteilung durch die Baubehörde. Diese nimmt zusammen mit einem allfälligen Gestaltungsberater die nöti- ge Beurteilung vor. Zu diesem Zweck kann sie spezifische Unterlagen und Nachweise anfordern.</w:t>
      </w:r>
    </w:p>
    <w:p>
      <w:r>
        <w:t>- 20 - c) Das Gebäude erstreckt sich hier entlang der D._____-strasse über 22.48 m (Südostfassade). In der Tiefe erstreckt sich das Gebäude (ohne einge- schossigen Anbau mit Treppe) über 21.90 m. Wie die Beschwerdegegne- rin 1 im angefochtenen Einspracheentscheid festhielt, ist die Gebäudetie- fe der Strasse abgewandt und somit in der Länge frei (Art. 23 Abs. 2 ers- ter Satz e contrario BG). Nachfolgend zu prüfen ist aber, ob diese nach architektonischen Kriterien bestimmt wurde. Ausserdem ist zu klären, ob auch die übermässige Gebäudelänge aus architektonischen Gründen ge- rechtfertigt ist (Art. 9 i.V.m. Art. 23 Abs. 2 BG).</w:t>
      </w:r>
    </w:p>
    <w:p>
      <w:r>
        <w:t>d) Durch einen Rücksprung von 92 cm wird die entlang der D._____-strasse verlaufende Südostfassade unterbrochen. Damit entsteht eine die archi- tektonischen Eigenheiten des umliegenden Strassengebiets berücksichti- gende Fassadenstaffelung. Anlässlich des Augenscheins vom 11. Januar 2017 zeigte und erläuterte der externe Bauberater und Baukommissions- präsident Dipl. Arch. F._____ anhand eines Modells, wie sich das Bau- vorhaben in den umgebenden Dorfbereich einfügt. Insbesondere machte, neben den Erkenntnissen des Gerichtes vor Ort, das das ganze Dorf ab- bildende Modell die gute Eingliederung des in drei Teilen gestalteten Baukörpers überschaubar. Auch aufgrund dieser Erkenntnisse erscheinen die übermässigen Gebäudelängen aus architektonischen Gründen ge- rechtfertigt. Damit werden die massgebenden Bestimmungen über die Gebäudelängen eingehalten. 7. a) Schliesslich beklagt sich der Beschwerdeführer noch über eine Über- schreitung der maximal zulässigen Gebäudehöhen (recte wohl: Gesamt- höhen) bzw. Fassadenhöhen. b) Die Gesamthöhe und die Fassadenhöhe traufseitig von Gebäuden dürfen die Werte gemäss Zonenschema nicht überschreiten (Art. 13 Abs. 1 BG). Gemäss Zonenschema (Art. 9 BG) gilt in der Kernzone C eine maximale Höhe von 14 m. Laut Fussnote 1 im Zonenschema bemisst sich diese</w:t>
      </w:r>
    </w:p>
    <w:p>
      <w:r>
        <w:t>- 21 - nach der Interkantonalen Vereinbarung über die Harmonisierung der Baubegriffe (IVHB; Anhang I zum BG). Die Gesamthöhe ist gemäss Ziff. 5.1 Anhang I BG der grösste Höhenunterschied zwischen dem höchsten Punkt der Dachkonstruktion und den lotrecht darunter liegenden Punkten auf dem massgebenden Terrain. Bei den höchsten Punkten der Dachkonstruktion handelt es sich bei Giebeldächern um die Firsthöhe. Technisch bedingte Dachaufbauten wie Kamine, Lüftungsanlagen usw. können den höchsten Punkt der Dachkonstruktion überragen, dürfen aber in ihren Abmessungen das zulässige Mass nicht überschreiten. Gemäss Ziff. 4 der entsprechenden IVHB-Erläuterungen (Stand am 3. September 2013) zum Kapitel "Gesamthöhe" bezieht sich der obere Referenzpunkt auf den höchsten Punkt der "Dachkonstruktion". Gemeint ist im bautech- nischen Sinn das Traggerüst, also das Dachtragwerk, aus welchen Mate- rialien dieses auch immer besteht. Darüber liegen noch eine Isolation und eine Dachhaut. Klarer ist der französische Begriff "charpente" (Dachstuhl, Dachgebälk, im erweiterten Sinne auch Traggerüst), auch wenn damit natürlich nicht gemeint ist, dass alle Gebäude eine Dachkonstruktion aus Holz besitzen. Der obere Referenzpunkt liegt also beim höchsten Punkt der Tragkonstruktion ohne die allenfalls darauf aufgebrachte Isolation und ohne die Dachhaut. Vorliegend wird die maximale Gesamthöhe von 14 m gemessen von der Tragkonstruktion gemäss den Gebäudequerschnittplänen eingehalten. c) Die Fassadenhöhe ist der grösste Höhenunterschied zwischen der Schnittlinie der Fassadenflucht mit der Oberkante der Dachkonstruktion und der dazugehörigen Fassadenlinie (Ziff. 5.2 Anhang I BG). Auch dies- bezüglich bezieht sich der obere Referenzpunkt auf die Schnittlinie zwi- schen der Fassadenflucht und der Oberkante der "Dachkonstruktion" (zu diesem Begriff vgl. das vorstehend Gesagte bzw. die IVHB-Erläuterungen zum Kapitel "Fassadenhöhe", Ziff. 4), weshalb die maximale Fassaden-</w:t>
      </w:r>
    </w:p>
    <w:p>
      <w:r>
        <w:t>- 22 - höhe von 10.5 m gemäss den Gebäudequerschnittplänen eingehalten wird. 8. Da das Bauprojekt gemäss obigen Erwägungen die massgebenden Bau- bestimmungen einhält, ist die Beschwerde vollumfänglich abzuweisen. 9. Bei diesem Ausgang des Verfahrens werden die Gerichtskosten gemäss Art. 73 Abs. 1 VRG dem unterliegenden Beschwerdeführer auferlegt. Die- ser hat der anwaltlich vertretenen Beschwerdegegnerin 2 eine ausserge- richtliche Entschädigung auszurichten. Der geltend gemachte Honorar gemäss Honorarnote vom 23. Januar 2017 wird auf pauschal Fr. 7'500.-- (inkl. MWST) reduziert. Die Beschwerdegegnerin 1 hat keinen Anspruch auf eine aussergerichtliche Entschädigung, da sie in ihrem amtlichen Wir- kungskreis obsiegt hat (vgl.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