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40 vom 12. November 2015</w:t>
      </w:r>
    </w:p>
    <w:p>
      <w:r>
        <w:t>GR Gerichte, 2015-11-12, DE</w:t>
      </w:r>
    </w:p>
    <w:p>
      <w:r>
        <w:rPr>
          <w:b/>
        </w:rPr>
        <w:t xml:space="preserve">Quelle: </w:t>
      </w:r>
      <w:r>
        <w:t>https://mcp.opencaselaw.ch/entscheid/gr_gerichte_R_2015_40</w:t>
      </w:r>
    </w:p>
    <w:p>
      <w:r>
        <w:t>FR: GR_GERICHTE R 2015 40 du 12 novembre 2015</w:t>
      </w:r>
    </w:p>
    <w:p>
      <w:r>
        <w:t>IT: GR_GERICHTE R 2015 40 del 12 novembre 2015</w:t>
      </w:r>
    </w:p>
    <w:p>
      <w:pPr>
        <w:pStyle w:val="Heading2"/>
      </w:pPr>
      <w:r>
        <w:t>Regeste</w:t>
      </w:r>
    </w:p>
    <w:p>
      <w:r>
        <w:t>Baugesuch | Baurecht</w:t>
      </w:r>
    </w:p>
    <w:p>
      <w:pPr>
        <w:pStyle w:val="Heading2"/>
      </w:pPr>
      <w:r>
        <w:t>Erwägungen</w:t>
      </w:r>
    </w:p>
    <w:p>
      <w:r>
        <w:rPr>
          <w:b/>
        </w:rPr>
        <w:t>E. 3</w:t>
      </w:r>
    </w:p>
    <w:p>
      <w:r>
        <w:t>a) Das streitige Bauvorhaben umfasst den Ersatz von 39 Holzfensterläden an einem Mehrfamilienhaus durch Aluminiumfensterläden, die mit dem bisherigen Lamellenbild übereinstimmen und farblich auf die Tür des E._____-gebäudes abgestimmt sind. Die zur Diskussion stehenden Alu- miniumfensterläden entsprechen somit in Grösse, Gliederung und im (ur- sprünglichen) Farbton den bestehenden Fensterläden. Davon weichen sie allerdings insofern ab, als die Beschwerdeführerin anstelle von Holzfens- terläden nunmehr aus Aluminium gefertigte Fensterläden einbauen möch-</w:t>
      </w:r>
    </w:p>
    <w:p>
      <w:r>
        <w:t>- 11 - te. Nachfolgend ist demzufolge zu prüfen, ob sich aus den in den Art. 77 und Art. 78 BG verankerten Einfügungsgeboten eine Materialisierungs- vorschrift ableiten lässt, wonach die Fensterläden am streitbetroffenen Mehrfamilienhaus aus Holz sein müssen. b) Die Beschwerdegegnerin hat diese Frage im angefochtenen Einspra- cheentscheid mit der Begründung bejaht, es entspreche der Beurtei- lungspraxis der Baukommission der Gemeinde X._____, welche gemäss Art. 4 Abs. 1 BG Baugesuche im Dorfkern beurteile und der Baubehörde entsprechend Antrag stelle, dass im Schutzbereich des Dorfkernes grundsätzlich nur Fenster und Fensterläden aus Holz zulässig seien. Da- mit werde der Standpunkt der Denkmalpflege Graubünden konsequent umgesetzt (vgl. Bf-act. 1). Diese Ausführungen hat sie in der Vernehm- lassung vom 3. Juni 2015 dahingehend ergänzt, als Art. 78 BG eine aus- reichende gesetzliche Grundlage biete, um den Einbau von Holzfenster- läden im alten Dorfkern zu verlangen. Gemessen am gewichtigen öffentli- chen Interesse an der Erhaltung eines möglichst intakten Dorfbildes er- weise sich ein derartiger Eingriff in die Eigentumsfreiheit als verhältnis- mässig. Der finanzielle Mehraufwand für die Holzfensterläden sei im Hin- blick auf das damit verfolgte Ziel, der alte Dorfkern in ihrem historischen Bild und mit ihren wesentlichen Merkmalen zu erhalten, vernachlässigbar (vgl. Vernehmlassung vom 3. Juni 2015 S. 5 f.). c) Die für die Beurteilung des streitigen Bauvorhabens massgeblichen Art. 77 und Art. 78 BG schreiben eine kubische und architektonische Ge- staltung vor, welche sicherstellt, dass sowohl für die Baute selbst als auch für deren landschaftliche und bauliche Umgebung eine befriedigende Ge- samtwirkung erzielt wird. Es genügt demzufolge nicht, dass bauliche Ver- änderungen das Ortsbild im Allgemeinen und die unter Denkmalschutz stehenden Objekte im Besonderen nicht beeinträchtigen. Vielmehr müs- sen sich bauliche Vorkehren harmonisch in die dortige Umgebung einfü- gen, die nach ihrer Art, Form und Struktur eine mehr oder weniger ge-</w:t>
      </w:r>
    </w:p>
    <w:p>
      <w:r>
        <w:t>- 12 - schlossene Einheit bildet. Was das im konkreten Fall heisst, hängt vom Schutzbedarf des Baudenkmals und seiner Stellung in der Umgebung ab. Es kann durchaus bedeuten, dass zonengemässe Nutzungen nicht aus- geschöpft oder Bauvorhaben wegen besonderer Gestaltungsvorschrift trotz Einhaltung der übrigen baurechtlichen Bestimmungen nicht bewilligt werden können (vgl. Urteil des Bundesgerichts 1P.417/2005 vom 6. Ok- tober 2005 E.3.1; BGE 115 Ia 119; BERNHARD WALDMANN / PETER HÄNNI, Raumplanungsgesetz, Bern 2006, Art. 17 N. 48; ALDO ZAUGG /PETER LUDWIG, Baugesetz des Kantons Bern, Band I, Bern 2007, Art. 10a-10f N. 7). Dies gilt insbesondere, wenn ein Bauvorhaben, wie mit den vorlie- gend in Frage stehenden Fensterläden (vgl. E.1c hievor), wichtige Bautei- le und Gestaltungselemente eines Gebäudes betrifft, welche das Bild des Hauses für sich und im Kontext mit dessen baulicher Umgebung prägen. Gerade in solchen Fällen ist es denkbar, dass sich aus Art. 77 und Art. 78 BG Materialisierungsvorschriften ableiten lassen, welche die Verwendung eines bestimmten Baustoffes vorschreiben, der – wie ein spezifischer Baustil – für eine Zeitepoche typisch sein kann. Entgegen der Auffassung der Beschwerdeführerin können die fraglichen Regelungen folglich durch- aus eine ausreichende Grundlage dafür bieten, Bauherrn von im alten Dorfkern gelegenen Gebäuden, die sich in der Umgebung von schüt- zenswerten sowie erhaltenswerten Gebäuden und Anlagen befinden, zu verpflichten, Holzfensterläden durch gleichgeartete Holzfensterläden zu ersetzen. d) Die Beschwerdegegnerin begründet ihre entsprechende Auffassung in erster Linie mit der Haltung des Denkmalschutzes Graubünden. Laut des- sen Stellungnahme vom 20. Januar 2015 sei die Gemeinde X._____ gemäss ISOS ein Ortsbild von nationaler Bedeutung. Im Besonderen der Bereich des Dorfkernes gelte als in höchstem Masse schutzwürdig. Ob- wohl die Einzelgebäude innerhalb des Dorfkernes von unterschiedlicher Qualität seien, gelte es das Ensemble als Ganzes zu betrachten. Dies fordere im Besonderen ein hohes Augenmerk auf Massnahmen mit Aus-</w:t>
      </w:r>
    </w:p>
    <w:p>
      <w:r>
        <w:t>- 13 - senwirkung, wie Fassaden, Dächer, Fenster usw. Die herrschende hohe Qualität der Bausubstanz im Dorfkern könne nur aufrechterhalten werden, wenn neue bauliche Elemente mit einem hohen Mass an Qualität in Farbe und Materialität realisiert würden. Den Massstab gäben die Altbauten vor, welche in höchster handwerklicher und materieller Qualität ausgeführt seien. Viele neue Materialien, wie Plastik oder Metall, genügten diesen Anforderungen nicht und seien darum im Hinblick auf die Erhaltung des alten Dorfkernes abzulehnen. Im vorliegenden Fall sollten Fensterläden aus Holz durch Fensterläden aus Metall ersetzt werden. Dies entspreche nicht den genannten Grundsätzen. Dazu komme, dass sich das in Frage stehende Mehrfamilienhaus direkt am E._____-platz befinde, eine hohe Lagewirkung aufweise und darum ein spezielles Augenmerk verdiene. Deshalb seien die Fensterläden in Holz zu erhalten und in Holz zu erset- zen. Anlässlich des Augenscheines führte I._____ ergänzend aus, aus Sicht des Denkmalschutzes seien die höheren Unterhaltskosten von Holz- fensterläden im Vergleich zu Aluminiumfensterläden nicht entscheidend. Bei Renovationsvorhaben, wie dem vorliegend in Frage stehenden, sei darauf zu achten, dass der Charakter des Dorteils durch die baulichen Vorkehren nicht verändert werde. Unter diesem Blickwinkel seien Holz- fensterläden gegenüber Aluminiumfensterläden zu favorisieren, und zwar gerade weil sie der Verwitterung unterlägen und sich damit in ihrem Er- scheinungsbild wandeln würden. Holz sei das historische Baumaterial, welches zur Authentizität des in Frage stehenden Gebäudes und damit des Dorfteils beitrüge. Deshalb spreche sich der Denkmalschutz im alten Dorfkern generell für Holzfensterläden aus. Dass in der Vergangenheit bisweilen möglicherweise ein anderer Standpunkt vertreten worden sei, könne er nicht ausschliessen. Denn der Denkmalschutz benötige immer etwas Zeit, um sich mit neuen Entwicklungen auseinanderzusetzen und dazu eine konsistente Position zu entwickeln. Derzeit herrsche in der Denkmalpflege schweizweit die Auffassung vor, dass Holzfensterläden gegenüber Aluminiumfensterläden zu bevorzugen seien.</w:t>
      </w:r>
    </w:p>
    <w:p>
      <w:r>
        <w:t>- 14 - e) Diese Ausführungen der fachkundigen kantonalen Amtsstelle sind in sich schlüssig und vermögen in fachlicher Hinsicht grundsätzlich zu überzeu- gen. Sie tragen jedoch den im alten Dorfkern bestehenden Verhältnissen unzureichend Rechnung. Dort sind nämlich, wie der Augenschein gezeigt hat, bereits heute zahlreiche Fensterläden aus Aluminium. Ob diese, wie von der Beschwerdeführerin geltend gemacht, bereits in der Überzahl sind, vermag das Gericht nicht zu sagen. Es erscheint aber durchaus plausibel, von einer ungefähr hälftigen Verteilung auszugehen. Dabei fin- den sich Aluminiumfensterläden nicht nur an historisch weniger wertvollen Plätzen sowie Strassenzügen, sondern auch an historisch besonders be- deutsamen Orten. Wenn die Beschwerdegegnerin diesbezüglich vor- bringt, den Einbau von Aluminiumfensterläden nur in zwei Fällen bewilligt zu haben, mag dies zutreffen. Auch sieht sich das Gericht nicht veran- lasst, an der Behauptung der Beschwerdeführerin zu zweifeln, dass der- zeit mehrere baupolizeiliche Wiederherstellungsverfahren laufen, mit dem Ziel, Bauherrn zu verpflichten, rechtswidrig montierte Aluminiumfensterlä- den zu demontieren und durch Holzfensterläden zu ersetzen. Selbst wenn diese Verfahren indessen zu dem von der Beschwerdegegnerin ange- strebten Einbau von Holzfensterläden führen sollten, ändert dies nichts daran, dass eine beträchtliche Zahl von Häusern im Dorfkern mit Alumini- umfensterläden ausgestattet ist. Die von der Beschwerdegegnerin nach eigenen Angaben seit Jahren in Anwendung von Art. 77 und Art. 78 BG verfolgte Praxis, wonach Holzfensterläden durch Holzfensterläden zu er- setzen sind, widerspiegelt sich im Ortsbild im alten Dorfkern somit nicht (mehr). Angesichts des Ausmasses dieses Vollzugsdefizits kommt die Beschwerdegegnerin nicht umhin, ihre diesbezügliche Praxis einer Über- prüfung zu unterziehen und sich die Frage zu stellen, ob es sinnvoll ist, auf derart strengen Gestaltungsvorschriften zu beharren, die sich in der Praxis offenbar nicht durchsetzen lassen. f) Dabei ist es ohne Zweifel bei einzelnen denkmalgeschützten Gebäuden, die Zeuge einer Epoche oder eines Baustils sind, sinnvoll und richtig, die</w:t>
      </w:r>
    </w:p>
    <w:p>
      <w:r>
        <w:t>- 15 - Bauherrschaft, wenn möglich, zu verpflichten, historische Materialien zu verwenden. Geht es jedoch um ein ganzes Quartier, so erscheint es sinn- voll, das Gewicht vor allem auf die Einhaltung der äusseren Erscheinung sowie der Bausubstanz insgesamt zu legen und andere Veränderungen im Hinblick auf die heutigen Bedürfnisse des Lebens und Wohnens zuzu- lassen (vgl. URS MARTI, Kommentar zum Urteil des Bundesgerichts 1c_398/2011 vom 7. März 2012, in: ZBl 2013 S. 386 ff. S. 388). In Bezug auf den in Frage stehenden Einbau von Aluminiumfensterläden fällt bei dieser Güterabwägung insbesondere ins Gewicht, dass sich Holzfenster- läden von hochwertigen Aluminiumfensterläden mit demselben Lamellen- bild kaum unterscheiden lassen. Erst bei eingehender Betrachtung aus kurzer Distanz lassen sich Unterschiede zwischen den beiden Fensterlä- den erkennen. So hat die Beschwerdegegnerin anlässlich des Augen- scheines zutreffend darauf hingewiesen, dass bei Holzfensterläden die Balken auf der Seite ganz nach unten geführt werden, während bei Alu- miniumfensterladen in der Eckverbindung eine diagonal verlaufende, gut sichtbare Einkerbung besteht. An dieser unterschiedlichen Machart las- sen sich Holzfensterläden zuverlässig von Aluminiumfensterläden unter- scheiden. Hierfür muss man sich jedoch dem Gebäude bis auf wenige Meter nähern. Dasselbe gilt für die Holstruktur von Holzfensterladen, die sich ohnehin nur erkennen lässt, wenn nicht mehrere, übereinanderlie- gende Farbanstriche bestehen. Hingegen ist der Durchschnittsbürger be- reits aus geringer Distanz nicht mehr in der Lage, hochwertige Aluminium- fensterläden von neuwertigen und regelmässig in Stand gesetzten Holz- fensterläden zu unterscheiden. Die mit einer solchen baulichen Vorkehr verbundene Veränderung an der Fassade eines Gebäudes ist daher be- reits aus geringer Distanz kaum mehr zu erkennen. Die in Art. 77 und Art. 78 BG verankerten Gestaltungsvorschriften, die hinsichtlich der Ver- wendung bestimmter Materialien offen formuliert sind, lassen unter diesen Umständen den Ersatz von Holzfensterläden durch hochwertige Alumini- umfensterläden mit demselben Lamellenbild grundsätzlich zu.</w:t>
      </w:r>
    </w:p>
    <w:p>
      <w:r>
        <w:t>- 16 - g) Aus diesen Überlegungen gelangt das Gericht zur Überzeugung, dass die Beschwerdegegnerin den ihr zustehenden Ermessenspielraum über- schritten hat, indem sie darauf beharrt hat, im alten Dorfkern in Anwen- dung von Art. 77 und Art. 78 BG, abgesehen von besonders gelagerten Einzelfällen, nur den Einbau von Holzfensterläden zu bewilligen. Denn diese Praxis widerspiegelt sich im Ortsbild des Dorfkernes nicht (mehr), wo an sehr vielen Häusern Aluminiumfensterläden montiert sind. Ange- sichts des Ausmasses des hierin sichtbar werdenden Vollzugsdefizits und der Tatsache, dass hochwertige Aluminiumfensterläden bereits aus ge- ringer Distanz kaum mehr von Holzfensterläden mit gleichem Lamellen- bild unterschieden werden können, erscheint die Weigerung der Be- schwerdegegnerin ihre bisherige Praxis aufzugeben, schlechterdings nicht mehr als vertretbar. Mit diesem Entscheid hat die Beschwerdegeg- nerin den ihr in dieser Frage zuzubilligenden Ermessensspielraum über- schritten. Diese Fehlentscheidung ist vom Verwaltungsgericht zu korrigie- ren ist, indem es die massgeblichen Gestaltungsvorschriften von Art. 77 und Art. 78 BG dahingehend auslegt, dass diese die Montage von hoch- wertigen Aluminiumfensterläden im alten Dorfkern gestatten, wenn sich diese bauliche Vorkehr harmonisch in die Umgebung einfügt und Gewähr für eine gute Gesamtwirkung bietet. h) In Bezug auf den vorliegenden Fall bleibt zu prüfen, ob sich das streitbe- troffene Bauvorhaben ausgehend von dieser Auslegung der massgebli- chen Gestaltungvorschriften als bewilligungsfähig erweist. In tatsächlicher Hinsicht ist diesbezüglich zu beachten, dass sich das vom streitigen Bau- vorhaben betroffene Mehrfamilienhaus direkt am E._____-platz befindet und eine hohe Lagewirkung aufweist. Die Beschwerdeführerin ist freilich bereit, die 39 Holzfensterläden durch hochwertige Aluminiumfensterläden zu ersetzen, die dem bisherigen Lamellenbild entsprechen und farblich auf die Tür des E._____-gebäudes abgestimmt sind. Durch diese bauli- che Veränderung wird das ursprüngliche Erscheinungsbild der Fassade weitgehend wiederhergestellt. Insoweit davon abgewichen wird, indem</w:t>
      </w:r>
    </w:p>
    <w:p>
      <w:r>
        <w:t>- 17 - Holz- durch Aluminiumfensterläden ersetzt werden, lässt sich diese Ver- änderung bereits aus kurzer Distanz, insbesondere auch vom E._____- gebäude aus, nicht mehr erkennen. Das streitige Bauvorhaben fügt sich folglich harmonisch in die bauliche Umgebung ein und ist ausreichend auf die in der nähren Umgebung gelegenen schützens- sowie erhaltenswer- ten Bauten und Anlagen abgestimmt. Damit erfüllt es die Voraussetzun- gen von Art. 77 und Art. 78 BG. Die Beschwerdegegnerin hätte somit dem Baugesuch der Beschwerdeführer Nr. 2014-0078/1 stattgeben und dieses unter der Auflage genehmigen müssen, dass die Beschwerdeführerin dem bisherigen Lamellenbild und (ursprünglichen) Farbton entsprechende Aluminiumfensterläden einbaut. Die zum Einbau bestimmten Material- und Farbmuster sind der zuständigen Baubehörde vor der Ausführung zur Genehmigung vorzulegen. Die vorliegende Beschwerde erweist sich demnach als begründet, was zur Aufhebung des angefochtenen Be- schlusses und zur Gutheissung der vorliegenden Beschwerde führt.</w:t>
      </w:r>
    </w:p>
    <w:p>
      <w:r>
        <w:rPr>
          <w:b/>
        </w:rPr>
        <w:t>E. 4</w:t>
      </w:r>
    </w:p>
    <w:p>
      <w:r>
        <w:t>Bei diesem Verfahrensausgang hat die Beschwerdegegnerin als unterlie- gende Partei die Kosten des Beschwerdeverfahrens zu tragen (Art. 73 VRG). Überdies hat sie der Beschwerdeführerin die Aufwendungen zu er- setzen, die ihr durch das vorliegende Beschwerdeverfahren entstanden sind. Der Rechtsvertreter der Beschwerdeführerin macht in seiner Hono- rarnote vom 1. Oktober 2015 Aufwendungen von total Fr. 3'210.95, be- stehend aus einem Honorar von Fr. 2'880.-- (11.9997 h à Fr. 240.--), Bar- auslagen von Fr. 93.-- und einer Mehrwertsteuer im Betrag von Fr. 237.50, geltend. Dieser Aufwand erscheint dem Gericht ohne weiteres als angemessen. Dementsprechend wird die Beschwerdegegnerin ver- pflichtet, die Beschwerdeführerin für das vorliegende Beschwerdeverfah- ren aussergerichtlich mit Fr. 3'210.95, inkl. MWST und Barauslagen, zu entschädigen. Demnach erkennt das Gericht:</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