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2014 37 vom 21. Januar 2016</w:t>
      </w:r>
    </w:p>
    <w:p>
      <w:r>
        <w:t>GR Gerichte, 2016-01-21, DE</w:t>
      </w:r>
    </w:p>
    <w:p>
      <w:r>
        <w:rPr>
          <w:b/>
        </w:rPr>
        <w:t xml:space="preserve">Quelle: </w:t>
      </w:r>
      <w:r>
        <w:t>https://mcp.opencaselaw.ch/entscheid/gr_gerichte_R_2014_37</w:t>
      </w:r>
    </w:p>
    <w:p>
      <w:r>
        <w:t>FR: GR_GERICHTE R 2014 37 du 21 janvier 2016</w:t>
      </w:r>
    </w:p>
    <w:p>
      <w:r>
        <w:t>IT: GR_GERICHTE R 2014 37 del 21 gennaio 2016</w:t>
      </w:r>
    </w:p>
    <w:p>
      <w:pPr>
        <w:pStyle w:val="Heading2"/>
      </w:pPr>
      <w:r>
        <w:t>Regeste</w:t>
      </w:r>
    </w:p>
    <w:p>
      <w:r>
        <w:t>Quartierplan (Kostenverteiler) | Kostenverteilung Quartierplanung, Erschliessung etc.</w:t>
      </w:r>
    </w:p>
    <w:p>
      <w:pPr>
        <w:pStyle w:val="Heading2"/>
      </w:pPr>
      <w:r>
        <w:t>Erwägungen</w:t>
      </w:r>
    </w:p>
    <w:p>
      <w:r>
        <w:rPr>
          <w:b/>
        </w:rPr>
        <w:t>E. 5</w:t>
      </w:r>
    </w:p>
    <w:p>
      <w:r>
        <w:t>Die Beschwerdeführer nahmen dazu am 9. Mai 2014 replicando Stellung. In der Duplik vom 23. Mai 2014 hielt die Beschwerdegegnerin an ihren Anträgen fest und setzte sich mit den Einwänden der Beschwerdeführer auseinander. Zugleich reichte sie ein zweites Gutachten des Amtes für Schätzungswesen des Kantons Graubünden (ASW) betreffend das auf der Parzelle 191 gelegene Stallgebäude ein. Dazu nahmen die Be- schwerdeführer in der Triplik vom 10. Juni 2014 Stellung. Die Beschwer- degegnerin äusserte sich zu den entsprechenden Vorbringen in der Qua- druplik vom 20. Juni 2014.</w:t>
      </w:r>
    </w:p>
    <w:p>
      <w:r>
        <w:t>- 4 -</w:t>
      </w:r>
    </w:p>
    <w:p>
      <w:r>
        <w:rPr>
          <w:b/>
        </w:rPr>
        <w:t>E. 6</w:t>
      </w:r>
    </w:p>
    <w:p>
      <w:r>
        <w:t>Mit prozessleitender Verfügung vom 10. November 2014 lud der zustän- dige Instruktionsrichter die Erben E._____ (Parzelle 181), F._____ (Par- zelle 186) und G._____ (Parzelle 191) zur Teilnahme am Beschwerdever- fahren ein. Diese reichten keine Stellungnahmen ein. Auf die weiteren Ausführungen der Verfahrensparteien und die einge- reichten Beweismittel wird, soweit erforderlich, in den nachfolgenden Er- wägungen eingegangen. Das Gericht zieht in Erwägung: 1. a) Die vorliegende Beschwerde richtet sich gegen die Einspracheentscheide der Gemeinde X._____ vom 17. Februar 2014. Gegen solche kommuna- len Entscheide, die weder bei einer anderen Instanz angefochten werden können noch endgültig sind, kann Beschwerde beim Verwaltungsgericht des Kantons Graubünden erhoben werden (Art. 49 des Gesetzes über die Verwaltungsrechtspflege [VRG; BR 370.100]). Die angefochtenen Ein- spracheentscheide sind demnach taugliche Anfechtungsobjekte für eine verwaltungsgerichtliche Beschwerde. Die Beurteilung der dagegen erho- benen Beschwerde fällt folglich in die Zuständigkeit des angerufenen Ge- richts. b) Die Beschwerdeführer sind von den angefochtenen Einspracheentschei- den überdies berührt und haben als direkte Adressaten der separat aus- gefertigten Einspracheentscheide ein schutzwürdiges Interesse an deren gerichtlicher Überprüfung (Art. 50 VRG). Soweit die Beschwerdegegnerin in diesem Zusammenhang darauf hinweist, A._____ habe im Einsprache- verfahren noch die Meinung vertreten, die dem Eigentümer der Parzelle 191 zugesprochene Entschädigung sei zu Recht auf der Grundlage eines</w:t>
      </w:r>
    </w:p>
    <w:p>
      <w:r>
        <w:t>- 5 - Landpreises von Fr. 350.-- pro m2 festgelegt worden, ist einzuräumen, dass A._____ in der Einsprache vom 19. November 2013 in der Tat aus- führte, es sei völlig korrekt, G._____ (Eigentümer der Parzelle 191) für dasjenige Land, das er für den Strassenbau zur Verfügung stellen müsse, mit Fr. 350.-- pro m2 zu entschädigen (vgl. Beilage der Beschwerdegeg- nerin [Bg-act.] 12 S. 4 Ziff. 4). Mit diesen Ausführungen hat A._____ die Angemessenheit des von der Beschwerdegegnerin festgelegten m2- Preises und damit die auf dieser Grundlage für die streitige Minderzutei- lung festgelegte Entschädigung von Fr. 48'123.-- anerkannt. Daran ändert die Tatsache nichts, dass A._____ – wie die Beschwerdeführer festhalten (vgl. dazu Replik vom 9. Mai 2014 S. 8) – weiter hinten in der Einsprache die durch das Quartierplanverfahren "H._____" verursachten Kosten und den auferlegten Kostenanteil im Hinblick auf die eingetretene Kosten- überschreitung als vollkommen übersetzt rügt (vgl. Einsprache vom 19. November 2013 S. 5 Ziff. 5 [Bg-act. 12]), handelt es sich hierbei doch um eine pauschale Kritik an den erhobenen Erschliessungs- und Pla- nungskosten, welche sich nicht auf konkrete Kostenpositionen bezieht und die vorgängige Anerkennung der Angemessenheit des berücksichtig- ten Landpreises in keiner Weise zu relativeren vermag. Dies führt jedoch nicht dazu, A._____ vorliegend in Bezug auf die streitige Kostenposition "Landpreis" die Beschwerdelegitimation mangels formeller Beschwer ab- zusprechen. Dem steht zum einen entgegen, dass im vorliegenden Be- schwerdeverfahren die Angemessenheit der im Kostenverteiler betreffend die Parzelle 191 berücksichtigten Entschädigung nicht hinsichtlich einzel- ner Schadenspositionen, sondern bezüglich der gesamten Entschädigung zu untersuchen sein wird (vgl. dazu nachfolgend E.3a). Zum anderen ha- ben die übrigen Beschwerdeführer im vorinstanzlichen Einspracheverfah- ren den der angefochtenen Minderzuteilung zugrunde liegenden Land- preis explizit (vgl. Einsprachen von B._____ und C._____ vom 18. No- vember 2013 S. 3 [Bg-act. 13]) bzw. implizit (Einsprache von D._____ vom 19. November 2013 [Bg-act. 14]) als übersetzt gerügt. B._____ und</w:t>
      </w:r>
    </w:p>
    <w:p>
      <w:r>
        <w:t>- 6 - C._____ sowie D._____ sind hinsichtlich des monierten Landpreises demnach in jedem Fall formell beschwert und damit zur Beschwerde- führung berechtigt. Unter diesen Umständen ist die Beschwerdelegitima- tion des Beschwerdeführers diesbezüglich selbst dann zu bejahen, wenn seine formelle Beschwer zu verneinen wäre, müssen doch bei einer ge- meinsamen Beschwerdeführung, wie der vorliegenden, rechtsprechungs- gemäss nicht ausnahmslos alle Beschwerdeführern zur Beschwerde- führung legitimiert sein, um auf die Beschwerde einzutreten und die erho- benen materiellen Einwände zu prüfen (vgl. Urteil des Bundesgerichts 1A.115/1998 vom 7. September 1998 E.2, publiziert in: Schweizerisches Zentralblatt für Staats- und Verwaltungsrecht [ZBl] 2000 S. 83 ff.; Urteil des Verwaltungsgerichts R 15 26 vom 25. August 2015 E.2d). Die Be- schwerdeführer sind folglich bezüglich aller von ihnen erhobenen Ein- wände als beschwerdeberechtigt anzusehen. Auf die von ihnen überdies frist- und formgerecht eingereichte Beschwerde (Art. 52 Abs. 1 VRG) ist damit einzutreten. 2. a) Streitig ist die im angefochtenen Einspracheentscheid betreffend die Par- zelle 191 vorgenommene Bemessung der durch das Quartierplanverfah- ren "H._____" verursachten Kosten und deren Verteilung. Gemäss Art. 54 Abs. 1 des Raumplanungsgesetzes des Kantons Graubünden (KRG; BR 801.100) gehen die Kosten der Quartierplanung und Quartierer- schliessung zulasten der Quartierplanbeteiligten. Die Quartierplangenos- sen haben grundsätzlich alle Kosten zu tragen, welche bei der Ausarbei- tung des Quartierplans und für den Bau der im Quartierplan vorgesehe- nen Erschliessungsanlagen anfallen. Für die Abgabepflicht und die Auftei- lung der Planungs- und Erschliessungskosten unter den Quartierplanbe- teiligten gelten sinngemäss die Bestimmungen über die Erhebung von Beiträgen (Art. 54 Abs. 3 KRG). Dabei wird im Allgemeinen zwischen den Planungs- und Erschliessungskosten unterschieden. Zu Letzteren zählen die Aufwendungen für den Bau der im Quartierplan vorgesehenen Er-</w:t>
      </w:r>
    </w:p>
    <w:p>
      <w:r>
        <w:t>- 7 - schliessungsanlagen, einschliesslich allfälliger Kosten für die Beschaffung des zu diesem Zweck erforderlichen Landes. Die Aufteilung des Privatan- teils dieser Kosten sowie der Planungskosten orientiert sich in der Regel an der möglichen Grundstücksnutzung unter Berücksichtigung allfälliger anderweitiger Vor- und Nachteile (Art. 63 Abs. 3 KRG, vgl. im Weiteren Art. 54 Abs. 4 KRG i.V.m. Art. 22 ff. Raumplanungsverordnung für den Kanton Graubünden [KVO; BR 801.110]). b) Die Realisierung der im Rahmen des Quartierplans "H._____" vorgese- henen Erschliessungsanlagen bedingte den Abbruch des auf der Parzelle 191 gelegenen Stallgebäudes (Gebäudenummer 191A) sowie mehrere Landabtretungen zugunsten der als Quartierstrasse neu ausgeschiede- nen Parzelle Nr. 1457. Solche Vorkehren sind als Eingriffe in die Eigen- tumsgarantie nur zulässig, wenn sie auf einer ausreichenden gesetzlichen Grundlage beruhen, im öffentlichen Interesse liegen und sich als verhält- nismässig erweisen (Art. 26 i.V.m. Art. 36 der Bundesverfassung der Schweizerischen Eidgenossenschaft [BV; SR 101]). Als enteignungsähn- liche Tatbestände sind sie gemäss Art. 26 Abs. 2 BV überdies voll zu ent- schädigen (BGE 96 I 130 E.3). Mit diesem verfassungsmässigen Grund- satz ist es jedoch vereinbar, wenn bei Landumlegungen für Anlagen, die dem Umlegungsgebiet dienen, Landabzüge gemacht werden. Im Fläche- nabzug für derartige Zwecke liegt keine Expropriation, weil er eine vor- zugslastähnliche Gegenleistung der Grundeigentümer für die ihnen aus der Ausführung der Umlegung zukommenden Vorteile darstellt (BGE 100 Ia 223 E.3; PETER KLEB, Kosten und Entschädigungen im zürcherischen Quartierplanverfahren, Zürcher Studien zum öffentlichen Recht, Zürich/Basel/Genf 2004, S. 24). In diesem Sinne sah bereits der bis zum 31. Oktober 2005 geltende Art. 42 aKRG im Falle von Landumlegungen, einen unentgeltlichen Abzug von Flächenanteilen für die notwendige Er- schliessung vor. Eine entsprechende Regelung findet sich nunmehr in dem die Landumlegung betreffenden Art. 69 Abs. 1 KRG. Hingegen ist für</w:t>
      </w:r>
    </w:p>
    <w:p>
      <w:r>
        <w:t>- 8 - über einen solchen allgemeinen Abzug hinausgehende Mehr- oder Min- derzuteilungen an Land oder anderweitige Eingriffe in das Eigentum als enteignungsähnliche Eingriffe von Verfassungswegen eine volle Entschä- digung geschuldet (vgl. Urteile des Verwaltungsgerichts R 11 72 vom</w:t>
      </w:r>
    </w:p>
    <w:p>
      <w:r>
        <w:rPr>
          <w:b/>
        </w:rPr>
        <w:t>E. 10</w:t>
      </w:r>
    </w:p>
    <w:p>
      <w:r>
        <w:t>November 2011, obgleich die Beschwerdeführer ausdrücklich geltend machten, die Beschwerdegegnerin habe ein entsprechendes Gutachten eingeholt. Mit diesem Verhalten hat die Beschwerdegegnerin nicht nur ih- re Aktenführungspflicht sowie den Anspruch der Beschwerdeführer auf Akteneinsicht in schwerwiegender Weise verletzt, sondern überdies die ihr vorliegenden Beweise falsch gewürdigt. Für sie bestand nämlich keine Veranlassung, an der Richtigkeit des Gutachtens vom 10. November 2011 zu zweifeln. Die Beschwerdegegnerin hätte das fragliche Gutachten folglich als voll beweiskräftig einstufen und den Verkehrswert des Stallge- bäudes 191A gestützt darauf auf Fr. 38'500.-- festlegen müssen. f) Aus dem vorangehend Ausgeführten folgt, dass dem Eigentümer der Par- zelle 191 für die erlittene Minderzuteilung eine Entschädigung von Fr. 48'123.-- und für den Abbruch des Stallgebäudes 191A eine Entschä- digung von Fr. 38'500.-- zusteht. Dass weitere Beweisvorkehren an die- sem Ergebnis etwas zu ändern vermögen, ist auszuschliessen. Der An- trag der Beschwerdeführer, bezüglich der Verkehrswerte der fraglichen Objekte eine Expertise einzuholen, ist deshalb in antizipierter Beweiswür- digung abzuweisen (BGE 134 I 134 I 140 E.5.3, 131 I 153 E.3; Urteil des Bundesgerichts 4A_130/2014 vom 14. Juli 2014 E.5.3). 7. Zusammenfassend kann damit festgehalten werden, dass die Beschwer- degegnerin im angefochtenen Einspracheentscheid für die Abbruchpla- nung, den Abbruch des Stalles sowie die Wiederherstellung zu Recht Aufwendungen von Fr. 25'967.-- sowie für die Minderzuteilung zu Lasten der Parzelle 191 Kosten von Fr. 48'123.-- berücksichtigt und den abgabe- pflichtigen Grundeigentümern anteilsmässig auferlegt hat. Dagegen hätte sie für das Stallgebäude 191A nur eine Entschädigung von Fr. 38'500.-- miteinbeziehen und den abgabepflichtigen Grundeigentümern belasten dürfen. Die vorliegende Beschwerde erweist sich demnach teilweise als begründet. Der angefochtene Einspracheentscheid ist demzufolge aufzu-</w:t>
      </w:r>
    </w:p>
    <w:p>
      <w:r>
        <w:t>- 28 - heben und die Angelegenheit für die Neuberechnung der Beiträge ausge- hend von einer Entschädigung von Fr. 38'500.-- für das sich vormals auf der Parzelle 191 befindende Stallgebäude an die Beschwerdegegnerin zurückzuweisen. 8. Bei diesem Verfahrensausgang und mit Blick auf die schwerwiegende Verletzung des Akteneinsichtsrechts der Beschwerdeführer erscheint es gerechtfertigt, die Parteien jeweils als hälftig obsiegend einzustufen. Dementsprechend gehen die Verfahrenskosten je zur Hälfte zu Lasten der Beschwerdegegnerin und der solidarisch haftenden Beschwerde- führenden (Art. 73 und Art. 72 Abs. 2 VRG). Die Beschwerdegegnerin schuldet den Beschwerdeführern für das vorliegende Beschwerdeverfah- ren überdies eine reduzierte aussergerichtliche Parteientschädigung, die vom Gericht in Anbetracht der Schwierigkeit der sich stellenden Sach- und Rechtsfragen und des durch das Verhalten der Beschwerdegegnerin erforderlich gewordenen doppelten Rechtsschriftenwechsels ermessens- weise auf Fr. 3'000.--, inkl. MWST und Barauslagen, festgelegt wird (Art. 78 Abs. 1 VRG). Der Beschwerdegegnerin steht keine (reduzierte) Parteientschädigung zu (Art. 78 Abs. 2 VRG).</w:t>
      </w:r>
    </w:p>
    <w:p>
      <w:r>
        <w:t>- 29 -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