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105 vom 6. Mai 2015</w:t>
      </w:r>
    </w:p>
    <w:p>
      <w:r>
        <w:t>GR Gerichte, 2015-05-06, DE</w:t>
      </w:r>
    </w:p>
    <w:p>
      <w:r>
        <w:rPr>
          <w:b/>
        </w:rPr>
        <w:t xml:space="preserve">Quelle: </w:t>
      </w:r>
      <w:r>
        <w:t>https://mcp.opencaselaw.ch/entscheid/gr_gerichte_R_2014_105</w:t>
      </w:r>
    </w:p>
    <w:p>
      <w:r>
        <w:t>FR: GR_GERICHTE R 2014 105 du 6 mai 2015</w:t>
      </w:r>
    </w:p>
    <w:p>
      <w:r>
        <w:t>IT: GR_GERICHTE R 2014 105 del 6 maggio 2015</w:t>
      </w:r>
    </w:p>
    <w:p>
      <w:pPr>
        <w:pStyle w:val="Heading2"/>
      </w:pPr>
      <w:r>
        <w:t>Regeste</w:t>
      </w:r>
    </w:p>
    <w:p>
      <w:r>
        <w:t>Baueinsprache | Bauen ausserhalb der Bauzonen</w:t>
      </w:r>
    </w:p>
    <w:p>
      <w:pPr>
        <w:pStyle w:val="Heading2"/>
      </w:pPr>
      <w:r>
        <w:t>Erwägungen</w:t>
      </w:r>
    </w:p>
    <w:p>
      <w:r>
        <w:rPr>
          <w:b/>
        </w:rPr>
        <w:t>E. 7</w:t>
      </w:r>
    </w:p>
    <w:p>
      <w:r>
        <w:t>Bei diesem Ausgang des Verfahrens gehen die Gerichtskosten gestützt auf Art. 73 Abs. 1 VRG zulasten der Beschwerdegegnerin. Diese hat die anwaltlich vertretenen, obsiegenden Beschwerdeführer nach Art. 78 Abs. 1 VRG zudem aussergerichtlich zu entschädigen. Der Rechtsvertre- ter des Beschwerdeführers machte mit Schreiben vom 2. März 2015 ein Honorar von gesamthaft Fr. 4'164.10 (inkl. 2 % Barauslagen [Fr. 75.60] sowie 8 % MWST [Fr. 308.50]) geltend. Der geltend gemachte Arbeits- aufwand (14 h à Fr. 270.--) und die geltend gemachten Barauslagen er- scheinen dem Gericht als angemessen. Hinsichtlich der geltend gemach- ten Mehrwertsteuer von Fr. 308.50 gilt es indes zu beachten, dass der Beschwerdeführer im Ausland wohnhaft ist. Der Mehrwertsteuer unterlie- gen die im Inland durch steuerpflichtige Personen gegen Entgelt erbrach- ten Leistungen (Art. 18 Abs. 1 des Bundesgesetzes über die Mehrwert- steuer [MWSTG; SR 641.20]). Als Ort der Dienstleistung gilt der Ort, an dem der Empfänger der Dienstleistung den Sitz seiner wirtschaftlichen Tätigkeit hat oder, in Ermangelung eines solchen Sitzes, der Wohnort oder der Ort seines üblichen Aufenthaltes (sog. Empfängerortprinzip, Art.</w:t>
      </w:r>
    </w:p>
    <w:p>
      <w:r>
        <w:rPr>
          <w:b/>
        </w:rPr>
        <w:t>E. 8</w:t>
      </w:r>
    </w:p>
    <w:p>
      <w:r>
        <w:t>Abs. 1 MWSTG). Der Beschwerdeführer hat seinen Wohnort in London, England. Das Empfängerortprinzip gilt im Rahmen der Prozessführung auch wenn die Dienstleistung im Zusammenhang mit einem in der Schweiz liegenden Grundstück erbracht worden ist (vgl. Eidgenössische Steuerverwaltung ESTV, MWST-Branchen-Info 18, Rechtsanwälte und</w:t>
      </w:r>
    </w:p>
    <w:p>
      <w:r>
        <w:t>- 35 - Notare, Bern 2010, Rz. 2.2). Eine Ausnahme im Sinne von Art. 8 Abs. 2 lit. f MWSTG liegt hier deshalb nicht vor. Der Beschwerdeführer ist somit für die Parteientschädigung nicht MWST-pflichtig, weshalb die Parteien- tschädigung exklusiv MWST zuzusprechen ist. Der für die Mehrwertsteuer eingesetzte Betrag von Fr. 308.50 ist somit von der zugesprochenen Par- teientschädigung in Abzug zu bringen, woraus eine von der Beschwerde- gegnerin an den Beschwerdeführer zu bezahlende aussergerichtliche Entschädigung von Fr. 3'855.60 resultiert. Der Rechtsvertreter der Beschwerdeführerin machte mit Schreiben vom 2. März 2015 ein Honorar von gesamthaft Fr. 4'204.85 (inkl. 3 % Baraus- lagen [Fr. 113.40] sowie 8 % MWST [Fr. 308.50]) geltend. Der geltend gemachte Arbeitsaufwand (14 h à Fr. 270.--) und die geltend gemachten Barauslagen erscheinen dem Gericht als angemessen. Hinsichtlich der geltend gemachten Mehrwertsteuer von Fr. 311.45 gilt es indes zu beach- ten, dass die mehrwertsteuerpflichtige Beschwerdeführerin die an seinen für geschäftlich begründete Zwecke beauftragten Anwalt geleisteten Mehrwertsteuern als Vorsteuern von ihrer eigenen Mehrwertsteuerrech- nung abziehen kann (vgl. Art. 28 ff. MWSTG; Eidgenössische Steuerver- waltung ESTV, MWST-Branchen-Info 19, Gemeinwesen, Bern 2010, Rz. 80; SUTER/VON HOLZEN, in: SUTTER-SOMM/HASENBÖHLER/LEUENBERGER [Hrsg.], Kommentar zur Schweizerischen Zivilprozessordnung [ZPO], 2. Aufl., Zürich/Basel/Genf 2013, Art. 95 Rz. 39). Eine solche Partei erleidet mithin durch die Mehrwertsteuer gar keinen zu entschädigenden Scha- den, da sie mit deren Bezahlung gleichzeitig (bzw. in der gleichen Peri- ode) einen gleich hohen geldwerten liquiden und sicheren Anspruch ge- genüber der ESTV erwirbt. Der für die Mehrwertsteuer eingesetzte Betrag von Fr. 311.45 ist somit von der zugesprochenen Parteientschädigung in Abzug zu bringen, woraus eine von der Beschwerdegegnerin an die Be- schwerdeführerin zu bezahlende aussergerichtliche Entschädigung von Fr. 3'893.40 resultiert.</w:t>
      </w:r>
    </w:p>
    <w:p>
      <w:r>
        <w:t>- 36 -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