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2013 218 vom 3. September 2014</w:t>
      </w:r>
    </w:p>
    <w:p>
      <w:r>
        <w:t>GR Gerichte, 2014-09-03, DE</w:t>
      </w:r>
    </w:p>
    <w:p>
      <w:r>
        <w:rPr>
          <w:b/>
        </w:rPr>
        <w:t xml:space="preserve">Quelle: </w:t>
      </w:r>
      <w:r>
        <w:t>https://mcp.opencaselaw.ch/entscheid/gr_gerichte_R_2013_218</w:t>
      </w:r>
    </w:p>
    <w:p>
      <w:r>
        <w:t>FR: GR_GERICHTE R 2013 218 du 3 septembre 2014</w:t>
      </w:r>
    </w:p>
    <w:p>
      <w:r>
        <w:t>IT: GR_GERICHTE R 2013 218 del 3 settembre 2014</w:t>
      </w:r>
    </w:p>
    <w:p>
      <w:pPr>
        <w:pStyle w:val="Heading2"/>
      </w:pPr>
      <w:r>
        <w:t>Regeste</w:t>
      </w:r>
    </w:p>
    <w:p>
      <w:r>
        <w:t>Baugesuch | Baurecht</w:t>
      </w:r>
    </w:p>
    <w:p>
      <w:pPr>
        <w:pStyle w:val="Heading2"/>
      </w:pPr>
      <w:r>
        <w:t>Erwägungen</w:t>
      </w:r>
    </w:p>
    <w:p>
      <w:r>
        <w:rPr>
          <w:b/>
        </w:rPr>
        <w:t>E. 5</w:t>
      </w:r>
    </w:p>
    <w:p>
      <w:r>
        <w:t>Mit Verfügung vom 13. Mai 2013 stellte die Stadt X._____ fest, dass die im Z._____ 4 auf Parzelle Nr. 3-165, STWE Nr. 165-12 beabsichtigte Nut- zungsänderung zu einem Erotik- und Escort-Dienstleistungsbetrieb der Baubewilligungspflicht unterstellt und deshalb ein Baugesuch einzurei- chen sei. Die Baubewilligung vom 8. März 2013 sei nur für bauliche Ände-</w:t>
      </w:r>
    </w:p>
    <w:p>
      <w:r>
        <w:t>- 4 - rungen im Gebäudeinnern erteilt worden und eine Nutzungsänderung sei weder beantragt noch bewilligt worden. Gleichzeitig wurde der unbewillig- te Betrieb eines Erotik- und Escort-Dienstleistungsbetriebs unter Andro- hung einer Busse untersagt. Diese Verfügung erwuchs unangefochten in Rechtskraft.</w:t>
      </w:r>
    </w:p>
    <w:p>
      <w:r>
        <w:rPr>
          <w:b/>
        </w:rPr>
        <w:t>E. 6</w:t>
      </w:r>
    </w:p>
    <w:p>
      <w:r>
        <w:t>Mit Schreiben vom 5. Juni respektive mit formgerechtem Gesuch vom 18. Juni 2013 ersuchten B._____ und die A._____ GmbH die Stadt X._____ um die Bewilligung der Nutzungsänderung in der Liegenschaft Z._____ 4 auf Parzelle Nr. 3-165, STWE Nr. 165-12. Drei Gewerberäume sollten gemäss Gesuch in Zukunft während maximal 6 Std. pro Tag für erotische Dienstleistungen und in den übrigen 18 Std. zu Wohnzwecken und die übrigen Räume weiterhin zu Wohnzwecken genutzt werden. Die Nutzung sei in der Anpassungszone C mit Empfindlichkeitsstufe III, wo mässig störende Gewerbe zulässig seien, zonenkonform.</w:t>
      </w:r>
    </w:p>
    <w:p>
      <w:r>
        <w:rPr>
          <w:b/>
        </w:rPr>
        <w:t>E. 7</w:t>
      </w:r>
    </w:p>
    <w:p>
      <w:r>
        <w:t>Gegen das Baugesuch erhoben F._____, G._____, D._____ und C._____ sowie einige Miteigentümer und Mieter der Liegenschaft Y._____ 4/6 Ein- sprache und beantragten die Abweisung des Baugesuchs. B._____ und die A._____ GmbH beantragten mit Stellungnahme vom 27. August 2013 die Abweisung der Einsprachen und hielten an ihrem Gesuch fest.</w:t>
      </w:r>
    </w:p>
    <w:p>
      <w:r>
        <w:rPr>
          <w:b/>
        </w:rPr>
        <w:t>E. 8</w:t>
      </w:r>
    </w:p>
    <w:p>
      <w:r>
        <w:t>Oktober 2013, trat die Stadt X._____ auf die Einsprachen von F._____ sowie von G._____ mangels Legitimation nicht ein. Gleichzeitig wies die Stadt X._____ das Baugesuch ab und hiess die zwei weiteren Einspra- chen sinngemäss gut, soweit sie darauf eintrat. Die Stadt X._____ führte zur Begründung u.a. aus, die betreffende Parzelle liege in der Anpas- sungszone C, die Teil der Kernzone bilde und für Wohnbauten, Dienst- leistungs- und Gewerbebetriebe sowie Landwirtschaftsbetriebe bestimmt</w:t>
      </w:r>
    </w:p>
    <w:p>
      <w:r>
        <w:t>- 5 - sei. In dieser Zone gelte die Empfindlichkeitsstufe III, womit mässig störende Betriebe zugelassen seien. Stark störende Betriebe und solche, die unverhältnismässigen Verkehr verursachten, seien unzulässig. Bei der Beurteilung, ob es sich um eine in raum- und ortsplanerischer Hinsicht mässig oder stark störende Nutzung handle, seien u.a. auch ideelle Im- missionen zu berücksichtigen, wobei für die Qualifizierung der ideellen Immissionen als stark störend ein erhebliches Konfliktpotential zwischen den sich entgegenstehenden Nutzungen vorliegen müsse. Unter Berück- sichtigung des kleinstädtischen Charakters des Quartiers mit guter Durchmischung von Wohn- und Gewerbenutzungen und den zu erwar- tenden materiellen Lärmimmissionen sowie den zu erwartenden ideellen Immissionen der geplanten sexgewerblichen Nutzung der Liegenschaft sei die Zweckänderung nicht zonenkonform, weshalb das Baugesuch ab- zuweisen sei.</w:t>
      </w:r>
    </w:p>
    <w:p>
      <w:r>
        <w:rPr>
          <w:b/>
        </w:rPr>
        <w:t>E. 9</w:t>
      </w:r>
    </w:p>
    <w:p>
      <w:r>
        <w:t>Dagegen erhoben die A._____ GmbH und B._____ (nachfolgend Be- schwerdeführer) am 16. Oktober 2013 Beschwerde beim Verwaltungsge- richt des Kantons Graubünden. Sie beantragten die Aufhebung des Bau- und Einspracheentscheids vom 17. September 2013 und die Bewilligung ihrer mit Baugesuch vom 18. Juni 2013 anbegehrten Nutzungsänderung. Die Beschwerdeführer rügten unter anderem, der angefochtene Entscheid sei ungenügend begründet worden, wodurch ihr Anspruch auf rechtliches Gehör verletzt worden sei. Die materiellen Immissionen des Kleinstbor- dells seien höchstens mässig störend und deshalb in der Anpassungszo- ne C zonenkonform. Weiter führten die Beschwerdeführer aus, die Quali- fizierung ideeller Immissionen als stark störend würde gemäss Recht- sprechung des Bundesgerichts ein erhebliches Konfliktpotenzial mit den sich entgegenstehenden Nutzungen voraussetzen. Ein solches erhebli- ches Konfliktpotential liege hier nicht vor, weshalb nicht von stark stören- den ideellen Immissionen gesprochen werden könne. Des Weiteren brin-</w:t>
      </w:r>
    </w:p>
    <w:p>
      <w:r>
        <w:t>- 6 - gen die Beschwerdeführer vor, das widersprüchliche Verhalten der Stadt X._____ im Rahmen der Baubewilligungsverfahren für den zuerst bean- tragten Umbau und die später ersuchte Umnutzung der Räumlichkeiten zeige, dass bei objektiver Betrachtung die geplante Nutzung zonenkon- form sei. Zudem sei durch das kritisierte Verhalten der Stadt X._____ das berechtigte Vertrauen der Beschwerdeführer in die Zulässigkeit der ge- planten Nutzungsänderung verletzt worden. Das Interesse der Beschwer- deführer an der Erteilung der Bewilligung der geplanten Umnutzung sei höher einzustufen als die völlig abwegigen und nicht substantiierten Werteinbussen der benachbarten Liegenschaften.</w:t>
      </w:r>
    </w:p>
    <w:p>
      <w:r>
        <w:rPr>
          <w:b/>
        </w:rPr>
        <w:t>E. 10</w:t>
      </w:r>
    </w:p>
    <w:p>
      <w:r>
        <w:t>Mit Vernehmlassung vom 7. November 2013 beantragte die Stadt X._____ (nachfolgend Beschwerdegegnerin 1) die kostenfällige Abwei- sung der Beschwerde. Begründend führte die Beschwerdegegnerin 1 un- ter anderem aus, die Frage der Bewilligungspflicht der Zweckänderung stelle sich hier nicht mehr, nachdem diese bereits rechtskräftig erledigt worden sei. Der Vorwurf des widersprüchlichen Verhaltens sei unbegrün- det und werde zurückgewiesen. Desweitern sei das rechtliche Gehör der Beschwerdeführer nicht verletzt worden, habe sie doch in Bst. B Ziff. 12 und 13 des angefochtenen Entscheids ausführlich dargelegt, weswegen die Umnutzung als nicht zonenkonform betrachtet und die Baubewilligung verweigert worden sei. Entscheidend für die Abweisung des Umnut- zungsgesuches seien neben den nächtlichen Lärmimmissionen die ideel- len Immissionen gewesen, welche durch den Bordellbetrieb entstünden. Unter Berücksichtigung des kleinstädtischen, ja schon fast dörflichen Charakters der Umgebung müssten die aus dem Betrieb erotischer Dienstleistungen resultierenden ideellen Immissionen als stark störend eingestuft werden, womit ein erhebliches Konfliktpotenzial zwischen den bestehenden (in der Liegenschaft Y._____ 4/6 überwiegenden Wohn-</w:t>
      </w:r>
    </w:p>
    <w:p>
      <w:r>
        <w:t>- 7 - Nutzungen und der geplanten Umnutzung vorliege. Dazu werde im Übri- gen auf Bst. B Ziff. 12 und 13 des angefochtenen Entscheids verwiesen.</w:t>
      </w:r>
    </w:p>
    <w:p>
      <w:r>
        <w:rPr>
          <w:b/>
        </w:rPr>
        <w:t>E. 11</w:t>
      </w:r>
    </w:p>
    <w:p>
      <w:r>
        <w:t>Mit Vernehmlassung vom 7. November 2013 beantragten einige Mitei- gentümer und Mieter der Liegenschaft Y._____ 4/6 (nachfolgend Be- schwerdegegner 3) sinngemäss die kostenfällige Abweisung der Be- schwerde. Sie beantragten, das Baugesuch sei abzulehnen und die Um- bauten in der Liegenschaft seien in den Urzustand zurückzubauen. Be- gründend führten sie aus, inwiefern sie als direkte Nachbarn von den ma- teriellen und immateriellen Immissionen durch den Bordellbetrieb beein- trächtigt würden und weshalb diese als stark störend zu beurteilen seien.</w:t>
      </w:r>
    </w:p>
    <w:p>
      <w:r>
        <w:rPr>
          <w:b/>
        </w:rPr>
        <w:t>E. 12</w:t>
      </w:r>
    </w:p>
    <w:p>
      <w:r>
        <w:t>Am 27. November 2013 reichten D._____ und C._____ (nachfolgend Be- schwerdegegner 2) ihre Stellungnahme ein und beantragten die kosten- fällige Abweisung der Beschwerde. Sie brachten vor, die Ausführungen der Beschwerdeführer, wonach weder die Eigentümer der anderen Dop- pelhausseite noch der in die Räumlichkeiten einsehende Metzger Ein- sprache bei der Vorinstanz erhoben hätten, seien falsch und es verhalte sich gerade umgekehrt. Entgegen der Annahme der Beschwerdeführer sei somit von einem entsprechenden Nutzungskonflikt auszugehen. Wei- ter wurde ausgeführt, im angefochtenen Entscheid habe sich die Vor- instanz mit der Nutzung der Umgebung auseinandergesetzt. Aufgrund der überwiegenden Wohnnutzung in der Umgebung sei die Vorinstanz zum Schluss gekommen, dass die vorgesehene sexgewerbliche Nutzung zu einem erheblichen Konfliktpotential in der Umgebung führe, was als stark störend und damit unzulässig zu qualifizieren sei. Diese Ausführungen seien nachvollziehbar und sicherlich nicht willkürlich, würden diese doch auf einer umfassenden Abwägung der sich gegenüberstehenden Interes- sen basieren. Ergänzend sei festzuhalten, dass sich die Stockwerkei-</w:t>
      </w:r>
    </w:p>
    <w:p>
      <w:r>
        <w:t>- 8 - gentümerschaft auch auf zivilrechtlicher Ebene gegen die Umnutzung zur Wehr setzen werde.</w:t>
      </w:r>
    </w:p>
    <w:p>
      <w:r>
        <w:rPr>
          <w:b/>
        </w:rPr>
        <w:t>E. 13</w:t>
      </w:r>
    </w:p>
    <w:p>
      <w:r>
        <w:t>Mit Eingabe vom 7. Januar 2014 hielten die Beschwerdeführer replicando an ihren Anträgen fest, wobei die Begründung keine wesentlichen Neue- rungen enthielt.</w:t>
      </w:r>
    </w:p>
    <w:p>
      <w:r>
        <w:rPr>
          <w:b/>
        </w:rPr>
        <w:t>E. 14</w:t>
      </w:r>
    </w:p>
    <w:p>
      <w:r>
        <w:t>Am 17. Januar 2014 hielt auch die Beschwerdegegnerin 1 duplicando an ihren Anträgen fest, wobei ihre Begründung ebenfalls nichts Neues ent- hielt.</w:t>
      </w:r>
    </w:p>
    <w:p>
      <w:r>
        <w:rPr>
          <w:b/>
        </w:rPr>
        <w:t>E. 15</w:t>
      </w:r>
    </w:p>
    <w:p>
      <w:r>
        <w:t>Auch die Beschwerdegegner 2 hielten in ihrer Duplik vom 7. Februar 2014 an ihren Anträgen fest, ohne dabei neue Aspekte vorzubringen.</w:t>
      </w:r>
    </w:p>
    <w:p>
      <w:r>
        <w:rPr>
          <w:b/>
        </w:rPr>
        <w:t>E. 16</w:t>
      </w:r>
    </w:p>
    <w:p>
      <w:r>
        <w:t>Die Beschwerdegegner 3 reichten keine Duplik ein. Auf die weiteren Ausführungen der Parteien in den Rechtsschriften und dem angefochtenen Entscheid sowie auf die im Recht liegenden Beweis- mittel wird, soweit rechtserheblich, in den nachfolgenden Erwägungen eingegangen.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