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2009 49 vom 15. Dezember 2009</w:t>
      </w:r>
    </w:p>
    <w:p>
      <w:r>
        <w:t>GR Gerichte, 2009-12-15, DE</w:t>
      </w:r>
    </w:p>
    <w:p>
      <w:r>
        <w:rPr>
          <w:b/>
        </w:rPr>
        <w:t xml:space="preserve">Quelle: </w:t>
      </w:r>
      <w:r>
        <w:t>https://mcp.opencaselaw.ch/entscheid/gr_gerichte_R_2009_49</w:t>
      </w:r>
    </w:p>
    <w:p>
      <w:r>
        <w:t>FR: GR_GERICHTE R 2009 49 du 15 décembre 2009</w:t>
      </w:r>
    </w:p>
    <w:p>
      <w:r>
        <w:t>IT: GR_GERICHTE R 2009 49 del 15 dicembre 2009</w:t>
      </w:r>
    </w:p>
    <w:p>
      <w:pPr>
        <w:pStyle w:val="Heading2"/>
      </w:pPr>
      <w:r>
        <w:t>Regeste</w:t>
      </w:r>
    </w:p>
    <w:p>
      <w:r>
        <w:t>Ortsplanungsrevision | Kostenverteilung Quartierplanung, Erschliessung etc.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Bei diesem Ausgang gehen die Verfahrenskosten zulasten der Gemeinde. Eine aussergerichtliche Entschädigung ist der privaten Gegenpartei praxisgemäss nicht zuzusprechen, da sie nicht anwaltlich vertreten war. Demnach erkennt das Gericht: 1. Die Beschwerde wird abgewiesen.</w:t>
      </w:r>
    </w:p>
    <w:p>
      <w:r>
        <w:t>2. Die Gerichtskosten, bestehend - aus einer Staatsgebühr von Fr. 4'000.-- - und den Kanzleiauslagen von Fr. 404.-- zusammen Fr. 4'404.-- gehen zulasten der Gemeinde … und sind innert 30 Tagen seit Zustellung dieses Entscheides an die Finanzverwaltung des Kantons Graubünden, Chur,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