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9</w:t>
      </w:r>
    </w:p>
    <w:p>
      <w:r>
        <w:t>GR Gerichte, IT</w:t>
      </w:r>
    </w:p>
    <w:p>
      <w:r>
        <w:rPr>
          <w:b/>
        </w:rPr>
        <w:t xml:space="preserve">Quelle: </w:t>
      </w:r>
      <w:r>
        <w:t>https://mcp.opencaselaw.ch/entscheid/gr_gerichte_PKG_2019_9</w:t>
      </w:r>
    </w:p>
    <w:p>
      <w:pPr>
        <w:pStyle w:val="Heading2"/>
      </w:pPr>
      <w:r>
        <w:t>Regeste</w:t>
      </w:r>
    </w:p>
    <w:p>
      <w:r>
        <w:t>Praxis Kantonsgericht |</w:t>
      </w:r>
    </w:p>
    <w:p>
      <w:r>
        <w:t>Regeste: siehe PKG-Dokument\x3Cbr\x3E | java.util.HashMap/1797211028</w:t>
      </w:r>
    </w:p>
    <w:p>
      <w:pPr>
        <w:pStyle w:val="Heading2"/>
      </w:pPr>
      <w:r>
        <w:t>Erwägungen</w:t>
      </w:r>
    </w:p>
    <w:p>
      <w:r>
        <w:rPr>
          <w:b/>
        </w:rPr>
        <w:t>E. 9</w:t>
      </w:r>
    </w:p>
    <w:p>
      <w:r>
        <w:t>PKG 2019 58 scussione le richieste dei resistenti basate sull‘art. 85a LEF. Come descritti sopra, queste non sono state giudicate e per la loro natura non rientrano nella competenza della giurisdizione di reclamo. La causa va perciò rinviata all‘autorità precedente. Essa dovrà trattare le rispettive richieste (sospen- sione provvisoria dell‘esecuzione, accertamento della parziale inesistenza del credito), tenendo conto della rispettiva competenza e del tipo di pro- cedura applicabile – sempreché i resistenti non ritirino le loro petizioni in considerazione della situazione giuridica qui descritta, la quale vale anche per l‘azione giusta l‘art. 85a LEF. KSK 16 46 Decisione del 11. gennaio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