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GR_GERICHTE PKG 2019 17 vom 25. Oktober 2007</w:t>
      </w:r>
    </w:p>
    <w:p>
      <w:r>
        <w:t>GR Gerichte, 2007-10-25, DE</w:t>
      </w:r>
    </w:p>
    <w:p>
      <w:r>
        <w:rPr>
          <w:b/>
        </w:rPr>
        <w:t xml:space="preserve">Quelle: </w:t>
      </w:r>
      <w:r>
        <w:t>https://mcp.opencaselaw.ch/entscheid/gr_gerichte_PKG_2019_17</w:t>
      </w:r>
    </w:p>
    <w:p>
      <w:r>
        <w:t>FR: GR_GERICHTE PKG 2019 17 du 25 octobre 2007</w:t>
      </w:r>
    </w:p>
    <w:p>
      <w:r>
        <w:t>IT: GR_GERICHTE PKG 2019 17 del 25 ottobre 2007</w:t>
      </w:r>
    </w:p>
    <w:p>
      <w:pPr>
        <w:pStyle w:val="Heading2"/>
      </w:pPr>
      <w:r>
        <w:t>Regeste</w:t>
      </w:r>
    </w:p>
    <w:p>
      <w:r>
        <w:t>Praxis Kantonsgericht |</w:t>
      </w:r>
    </w:p>
    <w:p>
      <w:r>
        <w:t>Regeste: siehe PKG-Dokument\x3Cbr\x3E | java.util.HashMap/1797211028</w:t>
      </w:r>
    </w:p>
    <w:p>
      <w:pPr>
        <w:pStyle w:val="Heading2"/>
      </w:pPr>
      <w:r>
        <w:t>Erwägungen</w:t>
      </w:r>
    </w:p>
    <w:p>
      <w:r>
        <w:rPr>
          <w:b/>
        </w:rPr>
        <w:t>E. 17</w:t>
      </w:r>
    </w:p>
    <w:p>
      <w:r>
        <w:t>PKG 2019 96 zum Ganzen auch Urteil des Bundesgerichts 6B_748/2008 vom 16. Februar 2009, E. 4.5.3, mit Bezug auf die Sicherungseinziehung; ferner Bommer, a.a.O., S. 181 f. [insb. Fn 38]; Thommen, a.a.O., N 209 zu Art. 69 StGB). Sollte die Staatsanwaltschaft eine Herausgabe allenfalls gewünschter Da- ten als unverhältnismässig ansehen und daher verweigern wollen, hätte sie dies in einer mittels Beschwerde anfechtbaren Verfügung festzuhalten und entsprechend zu begründen. SK2 18 51 Beschluss vom 6. November 2018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