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16 vom 7. Februar 2018</w:t>
      </w:r>
    </w:p>
    <w:p>
      <w:r>
        <w:t>GR Gerichte, 2018-02-07, DE</w:t>
      </w:r>
    </w:p>
    <w:p>
      <w:r>
        <w:rPr>
          <w:b/>
        </w:rPr>
        <w:t xml:space="preserve">Quelle: </w:t>
      </w:r>
      <w:r>
        <w:t>https://mcp.opencaselaw.ch/entscheid/gr_gerichte_PKG_2019_16</w:t>
      </w:r>
    </w:p>
    <w:p>
      <w:r>
        <w:t>FR: GR_GERICHTE PKG 2019 16 du 7 février 2018</w:t>
      </w:r>
    </w:p>
    <w:p>
      <w:r>
        <w:t>IT: GR_GERICHTE PKG 2019 16 del 7 febbraio 2018</w:t>
      </w:r>
    </w:p>
    <w:p>
      <w:pPr>
        <w:pStyle w:val="Heading2"/>
      </w:pPr>
      <w:r>
        <w:t>Regeste</w:t>
      </w:r>
    </w:p>
    <w:p>
      <w:r>
        <w:t>Praxis Kantonsgericht |</w:t>
      </w:r>
    </w:p>
    <w:p>
      <w:r>
        <w:t>Regeste: siehe PKG-Dokument\x3Cbr\x3E | java.util.HashMap/1797211028</w:t>
      </w:r>
    </w:p>
    <w:p>
      <w:pPr>
        <w:pStyle w:val="Heading2"/>
      </w:pPr>
      <w:r>
        <w:t>Erwägungen</w:t>
      </w:r>
    </w:p>
    <w:p>
      <w:r>
        <w:rPr>
          <w:b/>
        </w:rPr>
        <w:t>E. 11</w:t>
      </w:r>
    </w:p>
    <w:p>
      <w:r>
        <w:t>Abs. 2 StPO; vgl. zum Ganzen Brigitte Tag, in: Niggli/Heer/Wipräch-</w:t>
      </w:r>
    </w:p>
    <w:p>
      <w:r>
        <w:rPr>
          <w:b/>
        </w:rPr>
        <w:t>E. 16</w:t>
      </w:r>
    </w:p>
    <w:p>
      <w:r>
        <w:t>PKG 2019 88 Strafbehörde verlangen müssen (Art. 41 Abs. 1 StPO). Dies hat sie nicht ge- tan und in der Folge auch die Nichtanhandnahmeverfügung unangefochten in Rechtskraft erwachsen lassen. Damit sind die Beurteilungskompetenz der Staatsanwaltschaft Zürich – Limmat und die Sperrwirkung nach dem ne bis in idem-Grundsatz zu bejahen. 4.4. Lediglich der Vollständigkeit halber zu erwähnen bleibt in diesem Zusammenhang, dass die Staatsanwaltschaft Zürich - Limmat den Fall nicht etwa ohne Veranlassung, sondern aufgrund der durch die Be- schwerdeführerin selbst bei ihr eingereichten Strafanzeige behandelte. Ob die Eingabe, wie von der Beschwerdeführerin behauptet, aufgrund eines Redaktionsfehlers erfolgte, ist dabei nicht von Belang. Dass die Behörde aufgrund des im Darlehensvertrag vorgesehenen Unterzeichnungsorts Zü- rich von ihrer Zuständigkeit ausgehen durfte, wurde bereits erwähnt. Selbst wenn dies nicht der Fall gewesen wäre, wäre nach dem Erlass der Nichtan- handnahmeverfügung von einer gültigen Anerkennung der Zuständigkeit auszugehen, die in der Folge unangefochten blieb. SK2 18 40 Beschluss vom 3.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