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2019 14 vom 10. Juli 2019</w:t>
      </w:r>
    </w:p>
    <w:p>
      <w:r>
        <w:t>GR Gerichte, 2019-07-10, DE</w:t>
      </w:r>
    </w:p>
    <w:p>
      <w:r>
        <w:rPr>
          <w:b/>
        </w:rPr>
        <w:t xml:space="preserve">Quelle: </w:t>
      </w:r>
      <w:r>
        <w:t>https://mcp.opencaselaw.ch/entscheid/gr_gerichte_PKG_2019_14</w:t>
      </w:r>
    </w:p>
    <w:p>
      <w:r>
        <w:t>FR: GR_GERICHTE PKG 2019 14 du 10 juillet 2019</w:t>
      </w:r>
    </w:p>
    <w:p>
      <w:r>
        <w:t>IT: GR_GERICHTE PKG 2019 14 del 10 luglio 2019</w:t>
      </w:r>
    </w:p>
    <w:p>
      <w:pPr>
        <w:pStyle w:val="Heading2"/>
      </w:pPr>
      <w:r>
        <w:t>Regeste</w:t>
      </w:r>
    </w:p>
    <w:p>
      <w:r>
        <w:t>Praxis Kantonsgericht |</w:t>
      </w:r>
    </w:p>
    <w:p>
      <w:r>
        <w:t>Regeste: siehe PKG-Dokument\x3Cbr\x3E | java.util.HashMap/1797211028</w:t>
      </w:r>
    </w:p>
    <w:p>
      <w:pPr>
        <w:pStyle w:val="Heading2"/>
      </w:pPr>
      <w:r>
        <w:t>Erwägungen</w:t>
      </w:r>
    </w:p>
    <w:p>
      <w:r>
        <w:rPr>
          <w:b/>
        </w:rPr>
        <w:t>E. 14</w:t>
      </w:r>
    </w:p>
    <w:p>
      <w:r>
        <w:t>79 Einsprache gänzlich verneint, müssten konsequenterweise hinsichtlich des Prozessgegenstands der Arrestkaution die allgemeinen Regeln der eidge- nössischen Zivilprozessordnung zum Erlass vorsorglicher Massnahmen zur Anwendung gelangen. Dies hätte wiederum zur Folge, dass mit einer super- provisorisch, ohne vorgängige Anhörung des Gläubigers, verfügten Kauti- onsverpﬂichtung durch den Arrestrichter selber das Bestätigungsverfahren gemäss Art. 265 Abs. 2 ZPO einzuleiten wäre. Nach dem Gesagten wider- spräche eine direkte Anfechtbarkeit der zusammen mit der Arrestbewilli- gung verfügten Arrestkaution mittels Beschwerde sowohl der gesetzlichen Systematik als auch dem Prinzip des doppelten Instanzenzuges. 6. Im Ergebnis steht auch der Beschwerdeführerin als Arrestgläu- bigerin gegen den angefochtenen Entscheid einzig die Einsprache nach Art. 278 Abs. 1 SchKG zur Verfügung. Über die Einsprache entscheidet der Arrestrichter, der bereits den Arrestbefehl ausgesprochen hat (Art. 278 Abs. 1 und 2 SchKG; iudex a quo). Erst der in einem kontradiktorischen Verfahren ergangene Einspracheentscheid des Vorderrichters als iudex a quo kann von der Arrestgläubigerin mit Beschwerde nach der eidgenössi- schen Zivilprozessordnung angefochten werden (Art. 278 Abs. 3 ZPO in Verbindung mit Art. 319 ff. ZPO). Die vorliegende direkt erhobene Be- schwerde erweist sich als verfrüht, weshalb darauf nicht einzutreten ist. Damit erübrigt sich ein Entscheid über die als dringlich bezeich- neten Anträge auf Gewährung der aufschiebenden Wirkung respektive auf Abnahme oder Erstreckung der Frist zur Leistung der Arrestkaution (vgl. act. A.1). Über diese Anträge wird der Vorderrichter im Rahmen des bereits anhängig gemachten Einspracheverfahrens zu beﬁnden haben (act. B.10; act. D.2). Ein allfälliger negativer Entscheid könnte seinerseits unter den Voraussetzungen von Art. 319 ff. ZPO mit Beschwerde angefoch- ten werden. KSK 19 83 Entscheid vom 9. Oktober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