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12 vom 17. Juli 2019</w:t>
      </w:r>
    </w:p>
    <w:p>
      <w:r>
        <w:t>GR Gerichte, 2019-07-17, DE</w:t>
      </w:r>
    </w:p>
    <w:p>
      <w:r>
        <w:rPr>
          <w:b/>
        </w:rPr>
        <w:t xml:space="preserve">Quelle: </w:t>
      </w:r>
      <w:r>
        <w:t>https://mcp.opencaselaw.ch/entscheid/gr_gerichte_PKG_2019_12</w:t>
      </w:r>
    </w:p>
    <w:p>
      <w:r>
        <w:t>FR: GR_GERICHTE PKG 2019 12 du 17 juillet 2019</w:t>
      </w:r>
    </w:p>
    <w:p>
      <w:r>
        <w:t>IT: GR_GERICHTE PKG 2019 12 del 17 luglio 2019</w:t>
      </w:r>
    </w:p>
    <w:p>
      <w:pPr>
        <w:pStyle w:val="Heading2"/>
      </w:pPr>
      <w:r>
        <w:t>Regeste</w:t>
      </w:r>
    </w:p>
    <w:p>
      <w:r>
        <w:t>Praxis Kantonsgericht |</w:t>
      </w:r>
    </w:p>
    <w:p>
      <w:r>
        <w:t>Regeste: siehe PKG-Dokument\x3Cbr\x3E | java.util.HashMap/1797211028</w:t>
      </w:r>
    </w:p>
    <w:p>
      <w:pPr>
        <w:pStyle w:val="Heading2"/>
      </w:pPr>
      <w:r>
        <w:t>Erwägungen</w:t>
      </w:r>
    </w:p>
    <w:p>
      <w:r>
        <w:rPr>
          <w:b/>
        </w:rPr>
        <w:t>E. 12</w:t>
      </w:r>
    </w:p>
    <w:p>
      <w:r>
        <w:t>PKG 2019 ungenutzter Frist zur Erhebung der Aberkennungsklage um den konventi- onsrechtlichen Erkenntnisgerichtstand des Wohnsitzes oder Sitzes gebracht (Alexander R. Markus, IZPR, Rz. 1133). Dieser Ansicht kann nicht gefolgt werden, weil gerade mittels der Aberkennungsklage, die als materiell-recht- liche Klage nicht Art. 22 Ziff. 5 LugÜ untersteht (vgl. Andreas Güngerich, in: Oetiker/Weibel [Hrsg.], Basler Kommentar, Lugano-Übereinkommen, 2. Auﬂ., Basel 2016, N 83 zu Art. 22 LugÜ), ein Erkenntnisverfahren an ei- nem konventionsrechtlichen Erkenntnisgerichtsstand durchgeführt werden kann (in diesem Sinne auch Dominik Baeriswyl/Dominik Milani/Jean-Da- niel Schmid, a.a.O., N 18 zu Art. 30a SchKG). Dementsprechend begründet die Bejahung der Anwendbarkeit von Art. 22 Ziff. 5 LugÜ auf provisorische Rechtsöffnungen keinen verpönten exorbitanten Gerichtsstand. 3.3. Im Lichte obiger Erwägungen besteht kein hinreichender Grund, um von der bundesgerichtlichen Rechtsprechung abzuweichen. Es kann daher nicht an der früheren Rechtsprechung des Kantonsgerichts von Graubünden festgehalten werden, welche bei provisorischen Rechtsöffnun- gen im eurointernationalen Verhältnis die ausschliessliche Zuständigkeit am Vollstreckungsort verneinte (PKG 1999 Nr. 19 E. 1). In der vorliegenden Sache sind demnach schweizerische Gerichte international zuständig. KSK 19 27 Urteil vom 17. Juli 2019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