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10 vom 5. Juni 2015</w:t>
      </w:r>
    </w:p>
    <w:p>
      <w:r>
        <w:t>GR Gerichte, 2015-06-05, DE</w:t>
      </w:r>
    </w:p>
    <w:p>
      <w:r>
        <w:rPr>
          <w:b/>
        </w:rPr>
        <w:t xml:space="preserve">Quelle: </w:t>
      </w:r>
      <w:r>
        <w:t>https://mcp.opencaselaw.ch/entscheid/gr_gerichte_PKG_2019_10</w:t>
      </w:r>
    </w:p>
    <w:p>
      <w:r>
        <w:t>FR: GR_GERICHTE PKG 2019 10 du 5 juin 2015</w:t>
      </w:r>
    </w:p>
    <w:p>
      <w:r>
        <w:t>IT: GR_GERICHTE PKG 2019 10 del 5 giugno 2015</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63 tes Mal in der Betreibung Nr. eröffnet. Ein solches Vorgehen steht in Widerspruch zu Art. 206 Abs. 1 SchKG, wonach mit der Konkurseröffnung alle gegen den Schuldner hängigen Betreibungen aufgehoben sind. Sämtli- che gegen den Konkursschuldner anhängigen Betreibungen fallen bereits mit der Eröffnung des Konkurses und nicht erst mit dessen Publikation da- hin, mit der Folge, dass auch die darauf beruhenden betreibungsrechtlichen Gerichtsverfahren als gegenstandslos dahinfallen (vgl. Heiner Wohlfart/ Caroline B. Meyer, in: Staehelin/Bauer/Staehelin [Hrsg.], Bundesgesetz über Schuldbetreibung und Konkurs II, 2. Auﬂ., Basel 2010, N 7 und N 11 zu Art. 206 SchKG). Dementsprechend ist auch ein Konkursbegehren als ge- genstandslos abzuschreiben, wenn bereits in einem anderen Verfahren der Konkurs eröffnet worden ist (vgl. Giroud, a.a.O., N 27 zu Art. 172 SchKG). Die Bestimmung von Art. 206 SchKG ist zwingender Natur. In Missach- tung der Konkurseröffnung erfolgte Betreibungshandlungen sind daher nichtig und nicht bloss auf Beschwerde hin aufzuheben. Die Nichtigkeit ist jederzeit und von Amtes wegen zu beachten (vgl. Wohlfart/Meyer, a.a.O., N</w:t>
      </w:r>
    </w:p>
    <w:p>
      <w:r>
        <w:rPr>
          <w:b/>
        </w:rPr>
        <w:t>E. 14</w:t>
      </w:r>
    </w:p>
    <w:p>
      <w:r>
        <w:t>zu Art. 206 SchKG). Im Zeitpunkt des Entscheides über das Konkursbe- gehren in der Betreibung Nr. war eine wirksame Konkurseröffnung nach dem Gesagten ausgeschlossen. Eine solche wäre erst wieder möglich gewesen, nachdem der Beschwerde gegen die erste Konkurseröffnung auf- schiebende Wirkung erteilt und damit auch die Wirkungen von Art. 206 SchKG suspendiert wurden (vgl. Wohlfart/Meyer, a.a.O., N 8 zu Art. 206 SchKG; Urteil des Bundesgerichts 5A_440/2009 vom 6. August 2009 E. 2). Der Entscheid über das zweite Konkursbegehren hätte daher allenfalls von Amtes wegen sistiert werden können, bis über die Wirksamkeit des ersten Entscheides Klarheit bestand. Eine sofortige zweite Konkurseröffnung war dagegen unzulässig und konnte auch nicht dadurch (nachträglich) Wirkung erlangen, dass die Rechtskraft des ersten Konkursentscheides mit der Ge- währung der aufschiebenden Wirkung vorübergehend aufgehoben wurde, zumal der Beschwerde auch mit Bezug auf das zweite Konkurserkenntnis aufschiebende Wirkung zuerkannt wurde. Ist nun aber die Beschwerde ab- zuweisen, wird mit dem Entscheid der Beschwerdeinstanz der erste Kon- kursentscheid − also die Konkurseröffnung in der Betreibung Nr. − wirksam. Als Folge davon fällt die Betreibung Nr von Gesetzes wegen dahin (Art. 206 SchKG), so dass der in dieser Betreibung ergange- ne Konkursentscheid wie auch die dagegen gerichtete Beschwerde gegen- standslos werden. KSK 18 42 Entscheid vom 15. November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