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 vom 10. September 2018</w:t>
      </w:r>
    </w:p>
    <w:p>
      <w:r>
        <w:t>GR Gerichte, 2018-09-10, DE</w:t>
      </w:r>
    </w:p>
    <w:p>
      <w:r>
        <w:rPr>
          <w:b/>
        </w:rPr>
        <w:t xml:space="preserve">Quelle: </w:t>
      </w:r>
      <w:r>
        <w:t>https://mcp.opencaselaw.ch/entscheid/gr_gerichte_PKG_2019_1</w:t>
      </w:r>
    </w:p>
    <w:p>
      <w:r>
        <w:t>FR: GR_GERICHTE PKG 2019 1 du 10 septembre 2018</w:t>
      </w:r>
    </w:p>
    <w:p>
      <w:r>
        <w:t>IT: GR_GERICHTE PKG 2019 1 del 10 settembre 2018</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der Kantonsgerichtsverordnung [KGV; BR 173.100]). Der angefochtene Entscheid ist im Rahmen eines summarischen Verfahrens (Art. 271 lit. a ZPO) ergangen, sodass für diesen eine zehntägige Berufungsfrist gilt (Art. 314 Abs. 1 ZPO). Der Entscheid wurde den Parteien am 3. Oktober 2018 mitgeteilt und ging dem Berufungskläger am 4. Oktober 2018 zu. Unter Be- rücksichtigung von Art. 142 Abs. 3 ZPO endete die Berufungsfrist somit am 15. Oktober 2019 und wurde vom Berufungskläger mit der am selbigen Tag erfolgten Postaufgabe seiner Berufungsschrift gewahrt. Sie enthält zu- dem sowohl Anträge als auch eine Begründung, weshalb die gesetzlichen Formvorschriften (Art. 311 ZPO) grundsätzlich eingehalten sind. Ob die</w:t>
      </w:r>
    </w:p>
    <w:p>
      <w:r>
        <w:t>1 PKG 2019</w:t>
      </w:r>
    </w:p>
    <w:p>
      <w:r>
        <w:rPr>
          <w:b/>
        </w:rPr>
        <w:t>E. 8</w:t>
      </w:r>
    </w:p>
    <w:p>
      <w:r>
        <w:t>Begründung auch den von Lehre und Rechtsprechung entwickelten Anfor- derungen entspricht, wird im jeweiligen Sachzusammenhang zu prüfen sein. 1.2. Mit Berufung anfechtbar sind gemäss Art. 308 Abs. 1 ZPO erstinstanzliche End- und Zwischenentscheide (lit. a) sowie erstinstanzliche Entscheide über vorsorgliche Massnahmen (lit. b); in vermögensrechtlichen Angelegenheiten hängt die Zulässigkeit der Berufung zudem davon ab, dass der Streitwert der zuletzt aufrechterhaltenen Rechtsbegehren mindes- tens CHF 10‘000.00 beträgt (Art. 308 Abs. 2 ZPO). Ist das Streitwerterfor- dernis nicht erfüllt, steht gegen erstinstanzliche Endentscheide, Zwische- nentscheide und vorsorgliche Massnahme das Rechtsmittel der Beschwerde offen (Art. 319 lit. a ZPO). Nur mit Beschwerde anfechtbar sind sodann andere erstinstanzliche Entscheide und prozessleitende Verfügungen, wo- bei – ausser in den vom Gesetz bestimmten Fällen (Art. 319 lit. b Ziff. 1 ZPO) – eine Anfechtung nur dann zulässig ist, wenn durch die betreffen- den Entscheide oder Verfügungen ein nicht leicht wiedergutzumachender Nachteil droht (Art. 319 lit. b Ziff. 2 ZPO). Geht es um den Weiterzug von Entscheiden, mit welchen das Verfahren – anders als im Falle eines Endent- scheides – weder ganz noch teilweise beendet wird, unterscheidet die ZPO demnach zwischen (grundsätzlich) berufungsfähigen Zwischenentscheiden respektive Entscheiden über vorsorgliche Massnahmen einerseits und ein- zig der Beschwerde unterliegenden prozessleitenden Entscheiden anderer- seits. Unabhängig von seiner Bezeichnung liegt ein berufungsfähiger Zwi- schenentscheid nur dann vor, wenn damit über eine formelle oder materielle Vorfrage befunden wird und deren abweichende Beurteilung einen soforti- gen Endentscheid herbeiführen würde (Art. 237 ZPO). Die sog. prozesslei- tenden Verfügungen betreffen dagegen nicht den Streitgegenstand an sich, sondern die formelle Gestaltung und den Ablauf des Prozesses (wie z.B. Fristansetzungen, Beweisverfügungen, etc.). Entscheide über vorsorgliche Massnahmen wiederum ergehen vor oder während einem hängigen Haupt- prozess mit dem Zweck, die einer Partei bis zum Vorliegen eines Endent- scheides drohenden Nachteile abzuwenden (Art. 261 ff. ZPO) oder – na- mentlich in einem Scheidungsverfahren (Art. 276 ZPO) – die Rechte und Pﬂichten der davon betroffenen Personen für die Dauer des Verfahrens zu regeln. 1.3. Der Berufungskläger begründet die Berufungsfähigkeit des im Rahmen des hängigen Eheschutzverfahrens ergangenen Entscheides im Wesentlichen damit, dass Eheschutzentscheide zu den Entscheiden im Sin- ne von Art. 308 Abs. 1 lit. a ZPO zählen würden und es sich um eine ver- mögensrechtliche Streitigkeit handle, deren Streitwert – ausgehend von den von der Berufungsbeklagten geltend gemachten monatlichen Unterhalts- zahlungen von über CHF 7‘000.00 sowie Prozesskostenvorschüssen in noch nicht abschliessender Höhe – die Grenze von CHF 10‘000.00 um ein Mehr-</w:t>
      </w:r>
    </w:p>
    <w:p>
      <w:r>
        <w:t>PKG 2019 1</w:t>
      </w:r>
    </w:p>
    <w:p>
      <w:r>
        <w:rPr>
          <w:b/>
        </w:rPr>
        <w:t>E. 9</w:t>
      </w:r>
    </w:p>
    <w:p>
      <w:r>
        <w:t>faches übertreffe (act. A.1 S. 5). Dem hält die Berufungsbeklagte entgegen, die im angefochtenen Entscheid ergangenen Anordnungen seien vorläuﬁger Natur (insbesondere die Obhuts-, Besuchs- und Unterhaltsregelung) oder aber lediglich als prozessleitend zu werten (namentlich die Gutachterbeauf- tragung oder die Einholung von Gerichtskostenvorschüssen). In der Lehre sei umstritten, ob im Eheschutzverfahren ergangene vorsorgliche Massnah- men überhaupt mit Berufung anfechtbar seien. In Anlehnung an die Praxis des Kantonsgerichts Basel-Landschaft sei bezüglich der Unterhaltsbeiträ- ge zwischen reversiblen und nicht reversiblen zu unterscheiden, wobei nur letztere mit Berufung anfechtbar seien. Da im angefochtenen Entscheid festgehalten worden sei, dass über die deﬁnitiven Unterhaltsbeiträge sowie deren rückwirkende Festlegung und allfällige Verrechnungen seitens des Ehemannes noch deﬁnitiv zu entscheiden sei, handle es sich um vorläuﬁge und reversible Unterhaltsbeiträge, welche nicht berufungsfähig seien. Mit Beschwerde sei der Entscheid hingegen auch nicht anfechtbar, weil es an der Prämisse des nicht leicht wiedergutzumachenden Nachteils fehle, welcher rechtlicher Natur sein müsse. Auf den Eventualantrag des Berufungsklä- gers könne nicht eingetreten werden, weil dieser die vorläuﬁgen Regelungen des Zwischenentscheides durch deﬁnitive Regelungen ersetzt haben wolle (act. A.2 S. 3 f.). 1.4. Vorab ist festzuhalten, dass die Berufung nebst der dem Be- rufungskläger auferlegten Verpﬂichtung zur Bezahlung von Unterhalts- beiträgen und zur Leistung eines Prozesskostenvorschusses auch die Rege- lung der Obhut und des Besuchsrechts betreffend die Kinder B. und A. zum Gegenstand hat. Damit liegt keine rein vermögensrechtliche Angelegenheit vor, so dass die Berufungsfähigkeit des angefochtenen Ent- scheides entgegen der berufungsklägerischen Ansicht nicht vom Erreichen der Streitwertgrenze abhängt (vgl. BGE 116 II 493). Mit dem angefochtenen Entscheid werden allerdings nicht bloss die genannten materiell-rechtlichen Streitpunkte geregelt, sondern – wie die Berufungsbeklagte zu Recht ein- wendet – auch Anordnungen prozessleitender Natur getroffen (Einholung eines Gutachtens, Anordnung von Gerichtskostenvorschüssen). Derar- tige Anordnungen können – auch wenn sie zusammen mit Anordnungen in der Sache selber ergehen – nicht mit Berufung, sondern einzig mit Be- schwerde gemäss Art. 319 ff. ZPO angefochten werden. Nach der Praxis des Kantonsgerichts von Graubünden bestünde in einem solchen Fall zwar grundsätzlich die Möglichkeit einer Konversion, sodass das Rechtsmittel, soweit es sich gegen prozessleitende Anordnungen richtet, als Beschwerde entgegengenommen werden könnte (vgl. Urteil des Kantonsgerichts von Graubünden ZK1 12 12 vom 2. Juli 2012 E. 1.b mit weiteren Hinweisen sowie ZK1 14 53 [= PKG 2014 Nr. 5] E. 1). Abgesehen davon, dass damit eine engere Kognition der Rechtsmittelinstanz einherginge, müssten für</w:t>
      </w:r>
    </w:p>
    <w:p>
      <w:r>
        <w:t>1 PKG 2019</w:t>
      </w:r>
    </w:p>
    <w:p>
      <w:r>
        <w:rPr>
          <w:b/>
        </w:rPr>
        <w:t>E. 10</w:t>
      </w:r>
    </w:p>
    <w:p>
      <w:r>
        <w:t>ein Eintreten auf die Beschwerde aber auch die Voraussetzungen von Art. 319 lit. b ZPO erfüllt sein. Für die Anfechtbarkeit einer Beweisverfügung wird nach herrschender Lehre und Rechtsprechung das Drohen eines nicht leicht wiedergutzumachenden Nachteils im Sinne von Art. 319 lit. b Ziff. 2 ZPO verlangt, ansonsten damit bis zum Endentscheid der betreffenden Instanz zuzuwarten und ein allfälliger Mangel des Beweisverfahrens im Rahmen der Anfechtung des Endentscheids zu rügen ist. Die anfechtende Partei hat dementsprechend substantiiert darzulegen, welchen Nachteil die Beweisverfügung konkret bewirken könnte und warum sich dieser Nachteil später nicht mehr oder nur noch mit erheblichen Schwierigkeiten beheben liesse (vgl. statt vieler Urteil des Kantonsgerichts von Graubünden ZK1 16 84 vom 14. Juni 2016 E. 2 mit zahlreichen Hinweisen). Bei Anordnung ei- nes kinderpsychiatrischen Gutachtens könnte nach der bundesgerichtlichen Rechtsprechung im Einzelfall zwar ein solcher Nachteil gegeben sein, zu- mal damit unwiderruﬂich in das Grundrecht der persönlichen Freiheit ein- gegriffen wird und eine wiederholte Begutachtung von Kindern nach Mög- lichkeit zu vermeiden ist (vgl. Urteile des Bundesgerichts 5A_211/2014 vom</w:t>
      </w:r>
    </w:p>
    <w:p>
      <w:r>
        <w:rPr>
          <w:b/>
        </w:rPr>
        <w:t>E. 14</w:t>
      </w:r>
    </w:p>
    <w:p>
      <w:r>
        <w:t>vorliegend angefochtenen Entscheid mit keiner Silbe darauf eingegangen, weshalb ein solcher Verfahrenswechsel nicht vorzunehmen sei. Stattdessen führe die Vorinstanz nun ein doppelspuriges Verfahren (Ehescheidung und Eheschutz), fordere für beide Verfahren Gerichtskostenvorschüsse ein und verfüge auch noch Prozesskostenvorschüsse. Diese Doppelspurigkeit wer- de mit dem nun hängigen Berufungsverfahren vor Kantonsgericht im Ehe- schutzverfahren nun weiter ausgebaut und das Verfahren unnötig verteuert (act. A.1 S. 6 f.). Die Berufungsbeklagte hält dem entgegen, dass ein an- hängig gemachtes Eheschutzverfahren immer zu Ende zu führen sei. Auch sei nicht erkennbar, welchen schutzwürdigen Zweck ein Verfahrenswechsel habe, zumal ein Verfahren mit Ehescheidung und vorsorglicher Massnah- me gleichermassen doppelspurig wäre (act. A.2 S. 7 f.). 2.2. Der Berufungskläger befand bereits in seiner Stellungnahme zum Eheschutzgesuch der Berufungsbeklagten vom 20. Juli 2018 mit Hin- weis auf die am gleichen Tag eingereichte Scheidungsklage, es sei angezeigt, anstelle eheschutzrichterlicher Massnahmen verfahrensleitende Massnah- men für die Dauer des Scheidungsverfahrens anzuordnen (Proz. Nr. RG act. I/2 S. 3 f.). Zudem betonte er an der mündlichen Eheschutz-Haupt- verhandlung mit Hinweis auf den Basler Kommentar (ohne Angabe einer Fundstelle), es seien ab dem Zeitpunkt der Rechtshängigkeit des Schei- dungsverfahrens vorsorgliche Massnahmen zu erlassen (Proz. Nr. RG act. V/1 S. 2). Der Vorderrichter ging im angefochtenen Zwischenentscheid vom 20. September 2018 nicht darauf ein, sondern führte lediglich aus, sei- ne örtliche Zuständigkeit für den Erlass eheschutzrechtlicher Massnahmen ergebe sich aus Art. 23 Abs. 1 ZPO, wonach das Gericht am Wohnsitz ei- ner Partei zwingend zuständig sei, und seine sachliche Zuständigkeit aus Art. 4 Abs. 1 lit. a EGzZPO, welcher die einzelrichterliche Zuständigkeit in Angelegenheiten des Summarverfahrens vorsehe. Vor diesem Hinter- grund erscheint die Rüge des Berufungsklägers, es werde im angefochtenen Entscheid nicht begründet, weshalb kein Verfahrenswechsel vorgenommen werde, zutreffend und eine Verletzung der Begründungspﬂicht des Vorder- richters ist zu bejahen. Was die Notwendigkeit eines Verfahrenswechsels nach Einreichung der Scheidungsklage betrifft, kann der Ansicht des Beru- fungsklägers indessen aus nachfolgend dargelegten Gründen nicht gefolgt werden. 2.3.1. Wie das Bundesgericht bereits in BGE 138 III 646 (= Pra 2013 Nr. 34) – in Präzisierung seiner bisherigen Rechtsprechung (BGE 129 III 60 E. 2 und 134 III 326 E. 3.2) – klargestellt hat, lässt die Einreichung einer Scheidungsklage die Zuständigkeit des Eheschutzrichters zum Ent- scheid über die bei ihm bereits hängigen Anträge nicht einfach dahinfal- len. Der Eheschutzrichter bleibt vielmehr zuständig für Massnahmen bis zum Eintritt der Rechtshängigkeit der Scheidung, selbst wenn er darüber</w:t>
      </w:r>
    </w:p>
    <w:p>
      <w:r>
        <w:t>PKG 2019 1</w:t>
      </w:r>
    </w:p>
    <w:p>
      <w:r>
        <w:rPr>
          <w:b/>
        </w:rPr>
        <w:t>E. 15</w:t>
      </w:r>
    </w:p>
    <w:p>
      <w:r>
        <w:t>erst nach diesem Zeitpunkt entscheiden kann. Ein solcher Entscheid bleibt sodann gleich wie eine vor der Rechtshängigkeit der Scheidung getroffe- ne Anordnung in Kraft, bis er durch vorsorgliche Massnahmen des Schei- dungsgerichts abgeändert wird. Solange bei Einreichung der Scheidungskla- ge nicht zugleich vorsorgliche Massnahmen beantragt werden und folglich noch kein Zuständigkeitskonﬂikt zwischen Eheschutz- und (vorsorglicher) Massnahmerichter besteht, bleibt die eheschutzrichterliche Zuständigkeit demnach nicht bloss für Massnahmen bis zum Eintritt der Rechtshängigkeit der Scheidung, sondern auch mit Wirkung für die Dauer des Scheidungsver- fahrens bestehen. Gestützt auf den genannten Bundesgerichtsentscheid hat das Kantonsgericht von Graubünden daher bereits wiederholt erkannt, dass ein Verfahrenswechsel, wie er von einem Teil der Regionalgerichte nach wie vor praktiziert wird, nicht erforderlich ist (vgl. Urteile des Kantonsgerichts von Graubünden ZK1 12 76 vom 26. April 2013 E. 2.e; ZK1 13 28 vom 3. Fe- bruar 2014 E. 1.b; ZK1 14 42 vom 17. März 2015 E. 1.4; ZK1 14 154 vom 29. Juni 2015 E. 1.c). Zwischenzeitlich hat das Bundesgericht seine Rechtspre- chung erneut bestätigt und explizit erklärt, dass ein die Kinderbelange (Ob- hut und Unterhalt) betreffendes Eheschutzverfahren trotz zwischenzeitlich eingereichter Scheidungsklage zu Ende zu führen sei und der zu treffende Entscheid mangels im Scheidungsverfahren gestellter Massnahmebegeh- ren über die Einleitung des Scheidungsverfahren hinaus Geltung haben werde, bis der Scheidungsrichter neue Anordnungen treffe (vgl. Urteil des Bundesgerichts 5A_316/2018 vom 5. März 2019 E. 3). Auch in der Lehre fand die bundesgerichtliche Rechtsprechung Zustimmung (vgl. namentlich Samuel Zogg, a.a.O., S. 55 ff., der allerdings dafürhält, dass die Spaltung der zeitlichen Zuständigkeit insofern eine Beschränkung der Kognition des Eheschutzrichters zur Folge habe, als dieser bei seinem Entscheid nur Tat- sachen berücksichtigen dürfe, die bis zur Rechtshängigkeit der Scheidung entstanden seien, während nach diesem Zeitpunkt eingetretene Tatsachen auf dem Wege eines Antrags auf Abänderung des noch ausstehenden Ent- scheides beim Scheidungsgericht geltend zu machen wären; eine derartige Kognitionsbeschränkung hingegen ablehnend Entscheid des Kantonsge- richts St. Gallen vom 20. Juni 2019 [FS.2018.25]). 2.3.2. Festzuhalten ist demnach, dass der Eheschutzentscheid in zeitlicher Hinsicht keiner Einschränkung unterliegt, solange kein Kompe- tenzkonﬂikt besteht, d.h. solange nicht beim Scheidungsgericht der Erlass vorsorglicher Massnahmen beantragt wird. Erst mit einem solchen Gesuch um Erlass vorsorglicher Massnahmen entﬁele gegebenenfalls die Zustän- digkeit für eine Obhutsregelung, die ihrer Natur nach nur für die Zukunft wirken kann. Vorliegend hat es der Berufungskläger unterlassen, beim Scheidungsgericht um den Erlass vorsorglicher Massnahmen zu ersuchen, und sein blosser Antrag auf einen Verfahrenswechsel ist nicht ausreichend,</w:t>
      </w:r>
    </w:p>
    <w:p>
      <w:r>
        <w:t>1 PKG 2019</w:t>
      </w:r>
    </w:p>
    <w:p>
      <w:r>
        <w:rPr>
          <w:b/>
        </w:rPr>
        <w:t>E. 16</w:t>
      </w:r>
    </w:p>
    <w:p>
      <w:r>
        <w:t>um den Erlass von Eheschutzmassnahmen auszuschliessen. Überdies ist für den vom Berufungskläger beantragten Verfahrenswechsel kein schützens- wertes Interesse erkennbar, zumal der Erlass von vorsorglichen Massnah- men im Scheidungsverfahren (ebenfalls) in einem selbständigen Nebenver- fahren erfolgt, für welches ein separater Gerichtskostenvorschuss erhoben werden kann. Das Eheschutzverfahren unterscheidet sich schliesslich weder prozessual noch materiell-rechtlich vom vorsorglichen Massnahmeverfah- ren, da Art. 276 ZPO für den Erlass vorsorglicher Massnahmen im Schei- dungsverfahren explizit auf die Bestimmungen des Eheschutzverfahrens nach Art. 172 ff. ZGB verweist. Damit hat der Vorderrichter zu Recht von einem Verfahrenswechsel abgesehen und die diesbezügliche Rüge des Be- rufungsklägers im Hauptpunkt ist nicht zu hören. ZK1 18 150 Urteil vom 12. November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