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6 vom 20. Mai 2015</w:t>
      </w:r>
    </w:p>
    <w:p>
      <w:r>
        <w:t>GR Gerichte, 2015-05-20, DE</w:t>
      </w:r>
    </w:p>
    <w:p>
      <w:r>
        <w:rPr>
          <w:b/>
        </w:rPr>
        <w:t xml:space="preserve">Quelle: </w:t>
      </w:r>
      <w:r>
        <w:t>https://mcp.opencaselaw.ch/entscheid/gr_gerichte_PKG_2018_6</w:t>
      </w:r>
    </w:p>
    <w:p>
      <w:r>
        <w:t>FR: GR_GERICHTE PKG 2018 6 du 20 mai 2015</w:t>
      </w:r>
    </w:p>
    <w:p>
      <w:r>
        <w:t>IT: GR_GERICHTE PKG 2018 6 del 20 maggio 2015</w:t>
      </w:r>
    </w:p>
    <w:p>
      <w:pPr>
        <w:pStyle w:val="Heading2"/>
      </w:pPr>
      <w:r>
        <w:t>Regeste</w:t>
      </w:r>
    </w:p>
    <w:p>
      <w:r>
        <w:t>Praxis Kantonsgericht |</w:t>
      </w:r>
    </w:p>
    <w:p>
      <w:r>
        <w:t>Regeste: siehe PKG-Dokument\x3Cbr\x3E | java.util.HashMap/1797211028</w:t>
      </w:r>
    </w:p>
    <w:p>
      <w:pPr>
        <w:pStyle w:val="Heading2"/>
      </w:pPr>
      <w:r>
        <w:t>Erwägungen</w:t>
      </w:r>
    </w:p>
    <w:p>
      <w:r>
        <w:rPr>
          <w:b/>
        </w:rPr>
        <w:t>E. 6</w:t>
      </w:r>
    </w:p>
    <w:p>
      <w:r>
        <w:t>PKG 2018 40 besondere prüfen, inwieweit das Einkommen zur Deckung der ehelichen Lebenskosten gebraucht wurde und ob der Unterhaltspﬂichtige leistungs- fähig ist (vgl. oben E. 6.8). Damit handelt es sich bei den Trust-Ausschüt- tungen um eine für den Unterhaltsanspruch zumindest potentiell relevante Tatsache (vgl. dazu oben E. 6.3.) und die diesbezüglichen Unterlagen sind herauszugeben. 9.3. Der Berufungsbeklagte entgegnet einer allfälligen Herausga- bepﬂicht, dass er am 17. Dezember 2015 form- und fristgerecht den Aus- kunftsbegehren der Berufungsklägerin vom 2. Oktober 2015 nachgekom- men sei (vgl. Berufungsantwort [act. A.2] S. 6; vgl. vorinstanzliche Akten, act. I.16). Er habe vor der Vorinstanz eine Kopie der Bestätigung vom</w:t>
      </w:r>
    </w:p>
    <w:p>
      <w:r>
        <w:rPr>
          <w:b/>
        </w:rPr>
        <w:t>E. 6.1</w:t>
      </w:r>
    </w:p>
    <w:p>
      <w:r>
        <w:t>Die Berufungsklägerin ist der Ansicht, dass aufgrund der von den Ehegatten ausserordentlich hohen Lebenshaltung die einstuﬁg-kon- krete Methode zur Anwendung komme (vgl. vorinstanzliche Akten, act. I.2 S. 17). Die Berufungsklägerin trage im vorliegenden Verfahren die prozes-</w:t>
      </w:r>
    </w:p>
    <w:p>
      <w:r>
        <w:t>PKG 2018</w:t>
      </w:r>
    </w:p>
    <w:p>
      <w:r>
        <w:rPr>
          <w:b/>
        </w:rPr>
        <w:t>E. 6.2</w:t>
      </w:r>
    </w:p>
    <w:p>
      <w:r>
        <w:t>Für die Bemessung der Unterhaltsbeiträge hat der Gesetzgeber keine bestimmte Berechnungsmethode vorgeschrieben (BGE 128 III 411 E. 3.2.2) und den Gerichten damit ein weites Ermessen zugestanden (BGE 134 III 577 E. 4). Weil sich der Unterhaltsanspruch im Eheschutzverfahren an dem während des gemeinsamen Haushaltes zuletzt gelebten Standard ausrichtet, ist dieser grundsätzlich konkret, auf der Basis der tatsächlich getätigten Ausgaben zu ermitteln (sog. einstuﬁg-konkrete Methode). Im Unterschied zur einstuﬁg-konkreten Methode, wo der gebührende Unter- halt Ausgangspunkt der Berechnung ist, wird bei der zweistuﬁgen Methode eine bestimmte Summe Geldes (das – allenfalls hypothetische – Einkom- men aller Betroffenen) bedarfsgerecht auf die Ehegatten und Kinder ver- teilt (BGE 140 III 485 E. 3.5.2 und Urteil des Bundesgerichts 5A_61/2015 vom 20. Mai 2015 E. 4.2.2). Auch in der Anwendung der einstuﬁg-konkre- ten Methode sind indessen gewisse Pauschalisierungen unumgänglich, weil es nahezu unmöglich ist, für Ausgabepositionen wie den täglichen Bedarf die entsprechenden Zahlen nachträglich noch zu ermitteln bzw. vorzulegen (vgl. Urteil des Bundesgerichts 5A_198/2012 vom 24. August 2012 E. 8.3.3; vgl. zum Ganzen: Urteil des Bundesgerichts 5A_1020/2015 vom 15. Novem- ber 2016 E. 5.1). Nach der einstuﬁg-konkreten Methode wird der Bedarf also aus allen monatlichen Ausgaben in ihrer tatsächlichen Höhe berech- net, und zwar nach Massgabe des bisherigen Lebensstandards der Familie. Das Gericht hat den bisherigen Lebensstandard nach seinem Ermessen zu bestimmen, wobei es sich an den bisherigen monatlichen Auslagen der Fa- milie orientiert. Als Unterhaltsbeitrag ist der Betrag festzusetzen, welcher dem Unterhaltsberechtigten neben seinem eigenen Einkommen fehlt, um seinen Bedarf decken zu können. Ein sich allfällig aus der Differenz zwi-</w:t>
      </w:r>
    </w:p>
    <w:p>
      <w:r>
        <w:rPr>
          <w:b/>
        </w:rPr>
        <w:t>E. 6.4</w:t>
      </w:r>
    </w:p>
    <w:p>
      <w:r>
        <w:t>Der Berufungsbeklagte wendet gegen dieses Verständnis von Art. 170 ZGB – und insbesondere gegen den Entscheid des Obergerichts Zürich LE160021 vom 23. September 2016 – ein, dass Auskunftsbegehren aus blosser Neugier oder Schikane ausgeschlossen seien (vgl. Berufungs- antwort [act. A.2] S. 14). Im Falle der Gütertrennung sei bei der Auskunfts- erteilung keine detaillierte Abrechnung mit Belegen vorgesehen (vgl. Be- rufungsantwort [act. A.2] S. 17 mit weiterem Hinweis auf Ivo Schwander, in: Honsell/Vogt/Geiser [Hrsg.], Basler Kommentar, Zivilgesetzbuch I, Art. 1–456 ZGB, 5. Auﬂ., Basel 2014, N 15 zu Art. 170 ZGB mit weiteren Hinweisen). Diese betreffend das Güterrecht geltende Regelung habe aus logischen Gründen auch im Eheschutz Geltung, wenn die Parteien Güter- trennung vereinbart hätten (vgl. Berufungsantwort [act. A.2] S. 17). Der von der Berufungsklägerin angeführte Entscheid des Obergerichts Zürich vom 23. September 2016 (LE160021) sehe kein unbeschränktes materi- ell-rechtliches Auskunftsrecht vor, sondern umfasse nur jene Auskünfte, welche notwendig seien, um den konkreten Anspruch des die Auskunft ver- langenden Ehegatten festzulegen, was vorliegend nicht der Fall sei. Auch</w:t>
      </w:r>
    </w:p>
    <w:p>
      <w:r>
        <w:t>PKG 2018</w:t>
      </w:r>
    </w:p>
    <w:p>
      <w:r>
        <w:rPr>
          <w:b/>
        </w:rPr>
        <w:t>E. 6.5</w:t>
      </w:r>
    </w:p>
    <w:p>
      <w:r>
        <w:t>Mit dem Berufungsbeklagten ist festzuhalten, dass Auskunfts- begehren, welche aus blosser Neugier oder Schikane gestellt werden, keinen Schutz geniessen. Auch müssen die verlangten Auskünfte notwendig sein, um den Unterhaltsanspruch der Berufungsklägerin zu begründen. Jedoch steht der Güterstand der Gütertrennung den Auskunftsbegehren der Be- rufungsklägerin nicht per se entgegen. Die vom Berufungsbeklagten zitier- te Literaturstelle (Ivo Schwander, a.a.O., N 15 zu Art. 170 ZGB) verweist wiederum auf einen Entscheid des Bundesgerichts vom 4. Dezember 2003 (5C.114/2003). Das Bundesgericht verneint darin einen Auskunftsanspruch einer in Gütertrennung lebenden Ehefrau betreffend die Einkommens- und Vermögensverhältnisse ihres Ehemannes, weil ihr von vornherein kein An- spruch auf Beteiligung am Vorschlag des Ehemannes zustehe und es ihr daher an einem rechtlich schützenswerten Interesse an der verlangten In- formation fehle (Urteil des Bundesgerichts 5C.114/2003 vom 4. Dezember 2003 E. 3.2.3). Entgegen der Ansicht des Berufungsbeklagten wurde das Auskunftsbegehren der Ehefrau nicht deshalb abgewiesen, weil die Par- teien unter dem Güterstand der Gütertrennung standen, sondern deshalb, weil es der Ehefrau im Zusammenhang mit der güterrechtlichen Auseinan- dersetzung an einem Rechtsschutzinteresse fehlte. Art. 170 ZGB gilt denn auch seit der Revision des Eherechts aufgrund seiner Einordnung unter den Vorschriften über die Wirkungen der Ehe im allgemeinen Teil für alle Gü- terstände (vgl. oben E. 6.3.1). Auch der Einwand des Berufungsbeklagten, der Entscheid des Obergerichts Zürich LE160021 vom 23. September 2016 sei nicht einschlägig, da dessen Sachverhalt vom vorliegenden abweiche, ist von der Hand zu weisen. Denn es liegt in der Natur der Sache, dass sich Le- benssituationen verschiedener Menschen voneinander unterscheiden. Dies ändert jedoch nichts daran, dass die Rechtsprechung des Obergerichts Zü- rich auf den vorliegenden Fall anzuwenden ist.</w:t>
      </w:r>
    </w:p>
    <w:p>
      <w:r>
        <w:rPr>
          <w:b/>
        </w:rPr>
        <w:t>E. 6.6</w:t>
      </w:r>
    </w:p>
    <w:p>
      <w:r>
        <w:t>Im Weiteren argumentiert der Berufungsbeklagte gestützt auf die Rechtsprechung des Kantonsgerichts von Graubünden (vgl. Berufungs- antwort [act. A.2] S. 19 mit Hinweis auf das Urteil des Kantonsgerichts von</w:t>
      </w:r>
    </w:p>
    <w:p>
      <w:r>
        <w:rPr>
          <w:b/>
        </w:rPr>
        <w:t>E. 6.7</w:t>
      </w:r>
    </w:p>
    <w:p>
      <w:r>
        <w:t>Zusammenfassend ergibt sich, dass – gemäss zitierter Recht- sprechung des Bundesgerichts sowie des Obergerichts Zürich (vgl. dazu oben E. 6.3) – der Berufungsklägerin im Rahmen ihres Rechtsschutzin- teresses ein umfassendes Auskunftsrecht zusteht, welches lediglich durch das Erfordernis begrenzt wird, dass die Auskunft für die Beurteilung und Geltendmachung ihres Unterhaltsanspruches «nötig ist oder geeignet er- scheint», bzw. dass es sich – wie es Roland Kokotek und das Obergericht Zürich ausdrücken – um eine potenziell entscheidrelevante Tatsache han- delt.</w:t>
      </w:r>
    </w:p>
    <w:p>
      <w:r>
        <w:rPr>
          <w:b/>
        </w:rPr>
        <w:t>E. 6.8</w:t>
      </w:r>
    </w:p>
    <w:p>
      <w:r>
        <w:t>Vor dem Hintergrund des Gesagten hat die Vorinstanz zu Recht erwogen, dass bei Anwendung der einstuﬁg-konkreten Methode die notwendigen Ausgaben zur Aufrechterhaltung der während der Ehe ge- pﬂegten Lebenshaltung zu berücksichtigen sind, was eine konkrete Berech- nung der Lebenshaltung voraussetzt. Es obliegt der Berufungsklägerin, ih- ren eigenen, allenfalls erhöhten Bedarf nachzuweisen, was indessen ohne eine gewisse Pauschalisierung gar nicht möglich ist (vgl. angefochtener Ent- scheid [act. B.1] E. 6 S. 4). Damit die Berufungsklägerin ihren zu deckenden erhöhten Bedarf dartun kann, muss sie den während des Zusammenlebens geführten Lebensstil, insbesondere die in dieser Zeitperiode getätigten Ausgaben, behaupten und substantiieren können, was eine Auskunfts- pﬂicht des Berufungsbeklagten rechtfertigt. Wichtig ist in jedem Fall, dass die Berufungsklägerin die Möglichkeit hat, ihren Unterhaltsanspruch so zu behaupten und zu substantiieren, dass der Richter Einblick in den während der Ehe gelebten Standard gewinnen und sein Ermessen ausüben kann. Bezüglich der Erwägungen des Vorderrichters ist noch zu präzisie- ren, dass der Unterhaltanspruch auch bei Anwendung der einstuﬁg-konkre- ten Methode nicht losgelöst von den Einkommensverhältnissen bestimmt werden kann. Denn ohne die Feststellung des für die Bestreitung der ehe- lichen Lebensführung verfügbaren Einkommens kann die Angemessen- heit des geltend gemachten Unterhalts nicht beurteilt werden (vgl. Urteil des Kantonsgerichts von Graubünden ZK1 15 1 vom 18. November 2015 E. 3c/aa; vgl. auch Samuel Zogg, «Vorsorgliche» Unterhaltszahlungen im</w:t>
      </w:r>
    </w:p>
    <w:p>
      <w:r>
        <w:t>PKG 2018</w:t>
      </w:r>
    </w:p>
    <w:p>
      <w:r>
        <w:rPr>
          <w:b/>
        </w:rPr>
        <w:t>E. 11</w:t>
      </w:r>
    </w:p>
    <w:p>
      <w:r>
        <w:t>November 2016 betreffend Ausschüttungen H._ an ihn im Jahr 2015 als klägerische Beilage 23 ins Recht gelegt (vgl. vorinstanzliche Akten, kläge- rische Beilage 23). Überdies ergäben sich auch aus den Steuererklärungen – welche der Berufungsklägerin bekannt seien – die Einkünfte des Ehe- mannes aus den Truststrukturen (vgl. Berufungsantwort [act. A.2] S. 18). Fest steht, dass der Berufungsbeklagte am 17. Dezember 2015 ein Steuerruling der Steuerverwaltung des Kantons Graubünden betreffend das Jahr 2006, «Instrument of Exclusion of Beneﬁciaries» betreffend den H._, Minutes of Meeting of F._ vom 21. Dezember 2012 sowie eine «Decla- ration of Exclusion of G._» einreichte (vgl. vorinstanzliche Akten, klägeri- sche Beilagen 14–17). Diese Unterlagen sind nicht geeignet, Auskunft über (tatsächlich erfolgte) Ausschüttungen aus dem Trust zu belegen und befrei- en den Berufungsbeklagten deshalb nicht von seiner Editionspﬂicht. Auch die am 14. November 2016 (vgl. vorinstanzliche Akten, act. I.21) ins Recht gelegte Bestätigung vom 11. November 2016 betreffend Ausschüttungen aus dem H._ an den Berufungsbeklagten im Jahr 2015 (vgl. vorinstanzliche Akten, klägerische Beilage 23) ändert nichts an seiner Auskunftspﬂicht, da sie, wenn überhaupt, keine umfassende Auskunft gibt. Weitere Unter- lagen reichte der Berufungsbeklagte nicht ein, weshalb dem Auskunftsbe- gehren (vgl. Berufung [act. A.1] Rechtsbegehren Nr. 1.e) der Berufungs- klägerin vollumfänglich stattzugeben ist. Der Berufungsbeklagte ist daher zu verpﬂichten, die von der Berufungsklägerin aufgeführten Trust-Unter- lagen (vgl. Berufung [act. A.1] Rechtsbegehren Nr. 1.e), bei welchen er E._ (Gründer), F._ (Treunehmer) oder G._ (Begünstigter) ist, insbesondere zum «H._» und zum Trust «I._» zu edieren. ZK1 17 45 Urteil vom 13. Februar 2018 (Mit Urteil 5A_315/2018 vom 18. Oktober 2018 hat das Bundesgericht das Beschwerdeverfahren infolge Rückzugs der dagegen erhobenen Beschwer- de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