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21 vom 27. Oktober 2011</w:t>
      </w:r>
    </w:p>
    <w:p>
      <w:r>
        <w:t>GR Gerichte, 2011-10-27, DE</w:t>
      </w:r>
    </w:p>
    <w:p>
      <w:r>
        <w:rPr>
          <w:b/>
        </w:rPr>
        <w:t xml:space="preserve">Quelle: </w:t>
      </w:r>
      <w:r>
        <w:t>https://mcp.opencaselaw.ch/entscheid/gr_gerichte_PKG_2018_21</w:t>
      </w:r>
    </w:p>
    <w:p>
      <w:r>
        <w:t>FR: GR_GERICHTE PKG 2018 21 du 27 octobre 2011</w:t>
      </w:r>
    </w:p>
    <w:p>
      <w:r>
        <w:t>IT: GR_GERICHTE PKG 2018 21 del 27 ottobre 2011</w:t>
      </w:r>
    </w:p>
    <w:p>
      <w:pPr>
        <w:pStyle w:val="Heading2"/>
      </w:pPr>
      <w:r>
        <w:t>Regeste</w:t>
      </w:r>
    </w:p>
    <w:p>
      <w:r>
        <w:t>Praxis Kantonsgericht |</w:t>
      </w:r>
    </w:p>
    <w:p>
      <w:r>
        <w:t>Regeste: siehe PKG-Dokument\x3Cbr\x3E | java.util.HashMap/1797211028</w:t>
      </w:r>
    </w:p>
    <w:p>
      <w:pPr>
        <w:pStyle w:val="Heading2"/>
      </w:pPr>
      <w:r>
        <w:t>Erwägungen</w:t>
      </w:r>
    </w:p>
    <w:p>
      <w:r>
        <w:rPr>
          <w:b/>
        </w:rPr>
        <w:t>E. 21</w:t>
      </w:r>
    </w:p>
    <w:p>
      <w:r>
        <w:t>Verpﬂichtung des Beschwerdeführers zur Bezahlung von Unterhaltsbeiträ- gen sowohl an seine Ehefrau als auch an seine Söhne E._ und F._ abgesehen wurde. Auch die Jugendanwaltschaft anerkennt in der angefochtenen Ver- fügung die beim Beschwerdeführer bestehende Unterdeckung (vgl. Erwä- gung 7). In Anbetracht dieser Umstände stellt die Verpﬂichtung zur Bezah- lung des von der Jugendanwaltschaft verfügten Grundbetrages von CHF 300.00 einen Eingriff in das Existenzminimum des Beschwerdeführers dar. Wie dargelegt, ist dies nicht zulässig. Es wäre denn auch widersprüchlich, wenn der Beschwerdeführer von Unterhaltszahlungen an seine Söhne E._ und F._ befreit wäre, gleichzeitig aber für Massnahmevollzugskosten seines Sohnes Y._ belangt würde, zumal sich die Zahlungspﬂicht in beiden Fällen nach Art. 276 ZGB richtet. Entgegen dem, was die Staatsanwaltschaft an- zunehmen scheint (vgl. KG act. A.2, S. 3), kann es unter diesen Umständen keine Rolle spielen, ob der Beschwerdeführer fürsorgeabhängig ist. Zwar sieht das Merkblatt der Jugendanwaltschaft diese Vorgehensweise vor bzw. enthält – im Unterschied zur Richtlinie der Oberjugendanwaltschaft des Kantons Zürich, an die es sich anlehnt – keine entsprechende Bestimmung, dass in das Existenzminimum der Eltern nicht eingegriffen werden dürfe. Jedoch ist dieses Merkblatt für das Kantonsgericht als Beschwerdeinstanz in keiner Weise verbindlich und es erweist sich in der vorliegenden Streit- frage denn auch nicht als bundesrechtskonform. Dispositiv-Ziffer 2 der an- gefochtenen Verfügung ist deshalb aufzuheben und es ist (vorderhand) von einem Kostenbeitrag des Beschwerdeführers an die Massnahmevollzugs- kosten von Y._ abzusehen. Dies schliesst eine Neubeurteilung bei verän- derten Verhältnissen nicht aus. Wie sowohl der angefochtenen Verfügung als auch dem Merkblatt der Jugendanwaltschaft zu entnehmen ist, wird die Kostenbeitragspﬂicht jährlich überprüft. Sofern es die Umstände erfordern, kann die Kostenbeitragspﬂicht indes auch umgehend angepasst werden (in diesem Sinne auch die Richtlinie der Oberjugendanwaltschaft des Kantons Zürich über Bemessung, Auﬂage und Bezug der Beiträge an die Massnah- mevollzugskosten vom 15. Januar 2010, Ziff. 16). SK2 17 39 Beschluss vom 9. Mai 2018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