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18 vom 23. September 2014</w:t>
      </w:r>
    </w:p>
    <w:p>
      <w:r>
        <w:t>GR Gerichte, 2014-09-23, DE</w:t>
      </w:r>
    </w:p>
    <w:p>
      <w:r>
        <w:rPr>
          <w:b/>
        </w:rPr>
        <w:t xml:space="preserve">Quelle: </w:t>
      </w:r>
      <w:r>
        <w:t>https://mcp.opencaselaw.ch/entscheid/gr_gerichte_PKG_2018_18</w:t>
      </w:r>
    </w:p>
    <w:p>
      <w:r>
        <w:t>FR: GR_GERICHTE PKG 2018 18 du 23 septembre 2014</w:t>
      </w:r>
    </w:p>
    <w:p>
      <w:r>
        <w:t>IT: GR_GERICHTE PKG 2018 18 del 23 settembre 2014</w:t>
      </w:r>
    </w:p>
    <w:p>
      <w:pPr>
        <w:pStyle w:val="Heading2"/>
      </w:pPr>
      <w:r>
        <w:t>Regeste</w:t>
      </w:r>
    </w:p>
    <w:p>
      <w:r>
        <w:t>Praxis Kantonsgericht |</w:t>
      </w:r>
    </w:p>
    <w:p>
      <w:r>
        <w:t>Regeste: siehe PKG-Dokument\x3Cbr\x3E | java.util.HashMap/1797211028</w:t>
      </w:r>
    </w:p>
    <w:p>
      <w:pPr>
        <w:pStyle w:val="Heading2"/>
      </w:pPr>
      <w:r>
        <w:t>Erwägungen</w:t>
      </w:r>
    </w:p>
    <w:p>
      <w:r>
        <w:rPr>
          <w:b/>
        </w:rPr>
        <w:t>E. 18</w:t>
      </w:r>
    </w:p>
    <w:p>
      <w:r>
        <w:t>PKG 2018 118 2.2. Sofern entsprechende internationale Abkommen – wie hier mit Deutschland – abgeschlossen wurden, kann die Zustellung an den Empfänger wie im Inland direkt postalisch erfolgen. Diesfalls kann die Zustellﬁktion auch bei Strafverfahren mit Auslandsbezug zur Anwendung kommen (Urteil des Bundesgerichts 6B_541/2014 vom 23. September 2014 E. 1.3). Obschon Art. 7 Abs. 1 des Europäischen Übereinkommens vom</w:t>
      </w:r>
    </w:p>
    <w:p>
      <w:r>
        <w:rPr>
          <w:b/>
        </w:rPr>
        <w:t>E. 20</w:t>
      </w:r>
    </w:p>
    <w:p>
      <w:r>
        <w:t>April 1959 über die Rechtshilfe in Strafsachen (EUeR; SR 0.351.1) die Übermittlung von Verfahrensurkunden und Gerichtsentscheidungen über den ersuchten Staat vorschreibt, erlaubt das Zweite Zusatzprotokoll vom 8. November 2001 zum EUeR (SR 0.351.12), dem sowohl die Schweiz als auch Deutschland angehören, die unmittelbare postalische Zustellung die- ser amtlichen Dokumente an den Betroffenen (Art. 16 Ziff. 1). Auch der bilaterale Vertrag vom 13. November 1969 zwischen der Schweizerischen Eidgenossenschaft und der Bundesrepublik Deutschland über die Ergän- zung des EUeR und die Erleichterung seiner Anwendung (SR 0.351.913.61) sieht in Art. IIIA vor, dass die zuständigen Stellen eines Vertragsstaates im Rahmen der Verfolgung von Straftaten und Ordnungswidrigkeiten, für die im anderen Vertragsstaat die Leistung von Rechtshilfe zulässig ist, ge- richtliche und andere behördliche Schriftstücke unmittelbar durch die Post an Personen übersenden können, die sich im Hoheitsgebiet des anderen Vertragsstaates aufhalten (Urteil des Bundesgerichts 1C_236/2016 vom 15. November 2016 E. 3.5). 2.3. Aufgrund dieser vertraglichen Vereinbarung erweist es sich im Verhältnis zu Deutschland als völkerrechtlich zulässig, dass das Abwe- senheitsurteil des Regionalgerichts Landquart dem Berufungskläger un- mittelbar postalisch zugesandt worden ist (vgl. Urteil des Bundesgerichts 1C_236/2016 vom 15. November 2016 E. 3.6). Der erste Zustellversuch er- folgte gemäss der in den Akten liegenden Sendungsverfolgung der schwei- zerischen Post am 22. Mai 2017, bevor der eingeschriebene Brief mit dem Vermerk «Nicht abgeholt» am 9. Juni 2017 retourniert wurde (Akten RG Landquart, act. E.3). Wird die Sendung nicht innert der Frist von sieben Ta- gen abgeholt, so gilt nach der vorerwähnten Zustellﬁktion, deren Anwend- barkeit im Übrigen nicht in Abrede gestellt wird, dass sie am letzten Tag dieser Frist zugestellt wurde. Demnach gilt im vorliegenden Fall das Ab- wesenheitsurteil am 29. Mai 2017 als zugestellt, womit die 20-tägige Beru- fungserklärungsfrist am 30. Mai 2017 zu laufen begann und unter Berück- sichtigung des Fristenlaufs an Wochenenden (Art. 90 Abs. 1 StPO) am 19. Juni 2017 endete. Die erneute Zustellung des angefochtenen Urteils mittels A-Post vom 29. Juni 2017 (Akten RG Landquart, act. 10) führte nicht zu ei- ner Verschiebung des Zeitpunkts der (ﬁngierten) Zustellung (vgl. Urteil des Bundesgerichts 6B_481/2016 vom 6. März 2017 E. 4) und löste deshalb auch keine neue Rechtsmittelfrist aus. Damit erfolgte die Berufungserklärung</w:t>
      </w:r>
    </w:p>
    <w:p>
      <w:r>
        <w:t>PKG 2018 18 119 mit Eingabe vom 28. Juni 2017 verspätet, infolgedessen auf die Berufung nicht einzutreten ist. 2.4. Soweit der Berufungskläger vorbringt, er habe seit 1998 ei- nen Wohnsitz in Italien, an welchem er sich nach Erhebung des Einspruchs mehrere Monate aufgehalten habe, weshalb er die weitere Post nicht habe entgegennehmen und entsprechend reagieren können, ist er damit nicht zu hören. Nachdem der Berufungskläger mit Eingabe vom 28. Oktober 2016 Einsprache gegen den Strafbefehl der Staatsanwaltschaft Graubünden er- hoben hatte, bestand zwischen ihm und den Strafverfolgungsbehörden des Kantons Graubünden ein Verfahrensverhältnis. Ein solches verpﬂichtet die Parteien, sich nach Treu und Glauben zu verhalten und unter anderem dafür zu sorgen, dass ihnen behördliche Akte zugestellt werden können, welche das Verfahren betreffen. Von einer am Verfahren beteiligten Per- son ist zu verlangen, dass sie um die Nachsendung ihrer an die bisherige Adresse gelangenden Korrespondenz besorgt ist, allenfalls längere Ortsab- wesenheiten der Behörde mitteilt oder einen Stellvertreter ernennt (Urteil des Bundesgerichts 6B_110/2016 vom 27. Juli 2016 E. 1.2 mit weiteren Hin- weisen). Aufgrund der gegen den Strafbefehl der Staatsanwaltschaft Grau- bünden erhobenen Einsprache musste der Berufungskläger mit weiteren Verfahrenshandlungen und damit verbundenen behördlichen Zustellungen rechnen, für deren Inempfangnahme er besorgt zu sein hatte. Wie sich aus den Akten ergibt, führte der Berufungskläger im Briefkopf der Einsprache selbst «_str., O.3_» als eigene Anschrift auf (Akten StA, act. 11). Sämtli- che Korrespondenz der Staatsanwaltschaft und der Vorinstanz wurde dem Berufungskläger in der Folge an eben diese Adresse gesendet, so auch das angefochtene Abwesenheitsurteil (vgl. Akten RG Landquart, act. 1 und E.3). Selbst eine Anfrage beim zuständigen Einwohnermeldeamt bestätigte einzig, dass der Berufungskläger nach wie vor unter dieser Anschrift gemel- det und der Behörde keine andere Anschrift bekannt sei (vgl. Akten RG Landquart, act. 8 und 9). Unter diesen Umständen hätte es klarerweise ihm oblegen, die Staatsanwaltschaft bzw. das Regionalgericht Landquart recht- zeitig von seiner geplanten längeren Ortsabwesenheit in Kenntnis zu setzen bzw. zumindest eine zeitnahe Umleitung der Briefpost an die Adresse sei- nes (Zweit-)Wohnsitzes in Italien zu veranlassen. Dies hat er erwiesener- massen nicht getan. Die Verletzung dieser prozessualen Obliegenheit hat zur Folge, dass das Vorbringen des Berufungsklägers, wonach er sich nach Erhebung der Einsprache mehrere Monate in Italien aufgehalten habe und deshalb die ihm zugestellten Postsendungen nicht habe annehmen können, für die Beurteilung der Frage der rechtzeitigen Berufungserklärung nicht von Relevanz ist. 3.1. Der Klarheit halber erscheinen abschliessend einige Bemer- kungen zur Zustellung von Entscheiden im Abwesenheitsverfahren an-</w:t>
      </w:r>
    </w:p>
    <w:p>
      <w:r>
        <w:t>18 PKG 2018 120 gebracht. Die Zustellﬁktion gilt hier – anders als im Berufungsverfahren – nicht (explizit Summers, a.a.O., N 2 in ﬁne zu Art. 368 StPO; Maurer, a.a.O., N 4 zu Art. 368 StPO). Weil das Gesetz eine persönliche Zustellung verlangt, genügt auch die Zustellung an die Verteidigung oder einen Domi- zilträger nicht, um die Frist von Art. 368 Abs. 1 StPO auszulösen. Ebenso wenig reicht eine Urteilspublikation oder eine bloss tatsächliche Kenntnis- nahme des Urteils durch die Presse aus. Der Fristenlauf gemäss Art. 368 Abs. 1 StPO beginnt erst mit der persönlichen Zustellung des Urteils durch das Gericht. Aufgrund des Wortlauts der Bestimmung löst die Zustellung an den Domizilträger die Frist nach Art. 368 Abs. 1 StPO selbst dann nicht aus, wenn dieser das Urteil später der verurteilten Person weitergibt, zumal der Beginn des Fristenlaufs in einem solchen Fall nicht objektiv feststellbar wäre. Auch die Botschaft geht davon aus, dass der Aufenthaltsort der be- schuldigten Person ermittelt wird oder diese sonst wie gestellt und ihr dabei das Abwesenheitsurteil ausgehändigt wird (Maurer, a.a.O., N 3 zu Art. 368 StPO; Summers, a.a.O., N 2 zu Art. 368 StPO; Botschaft StPO, S. 1301).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