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2018 15 vom 1. Januar 2017</w:t>
      </w:r>
    </w:p>
    <w:p>
      <w:r>
        <w:t>GR Gerichte, 2017-01-01, DE</w:t>
      </w:r>
    </w:p>
    <w:p>
      <w:r>
        <w:rPr>
          <w:b/>
        </w:rPr>
        <w:t xml:space="preserve">Quelle: </w:t>
      </w:r>
      <w:r>
        <w:t>https://mcp.opencaselaw.ch/entscheid/gr_gerichte_PKG_2018_15</w:t>
      </w:r>
    </w:p>
    <w:p>
      <w:r>
        <w:t>FR: GR_GERICHTE PKG 2018 15 du 1 janvier 2017</w:t>
      </w:r>
    </w:p>
    <w:p>
      <w:r>
        <w:t>IT: GR_GERICHTE PKG 2018 15 del 1 gennaio 2017</w:t>
      </w:r>
    </w:p>
    <w:p>
      <w:pPr>
        <w:pStyle w:val="Heading2"/>
      </w:pPr>
      <w:r>
        <w:t>Regeste</w:t>
      </w:r>
    </w:p>
    <w:p>
      <w:r>
        <w:t>Praxis Kantonsgericht |</w:t>
      </w:r>
    </w:p>
    <w:p>
      <w:r>
        <w:t>Regeste: siehe PKG-Dokument\x3Cbr\x3E | java.util.HashMap/1797211028</w:t>
      </w:r>
    </w:p>
    <w:p>
      <w:pPr>
        <w:pStyle w:val="Heading2"/>
      </w:pPr>
      <w:r>
        <w:t>Erwägungen</w:t>
      </w:r>
    </w:p>
    <w:p>
      <w:r>
        <w:rPr>
          <w:b/>
        </w:rPr>
        <w:t>E. 15</w:t>
      </w:r>
    </w:p>
    <w:p>
      <w:r>
        <w:t>PKG 2018 102 die Mündigkeit eines Kindes ein, so endet die Verpﬂichtung zur Zahlung von Unterhalt für das unmündige Kind, was der unterhaltspﬂichtige Schuld- ner im Betreibungsverfahren mit den zugelassenen Beweismitteln geltend machen kann. Die zeitliche Limitierung gilt von Gesetzes wegen, sodass ein entsprechender Hinweis im Dispositiv nicht nötig ist (vgl. hierzu PKG 1990 Nr. 30; PKG 1983 Nr. 20 mit Verweis auf BGE 104 II 295; i.E. auch Six, a.a.O., Rz. 5.05). Dem Vorderrichter ist damit im Ergebnis beizupﬂichten, wenn er festhält, die Regelung im Eheschutzentscheid habe mit Bezug auf allfällige Unterhaltsansprüche von A._ am 10. März 2016 ihre Wirkung ver- loren, ohne dass es eines Abänderungsurteils oder ähnlichem bedurft hät- te, zumal unbestritten ist, dass A._ am 10. März 2016 volljährig geworden ist. Daran vermag entgegen dem, was die Beschwerdeführerin anzunehmen scheint (vgl. Beschwerde, S. 4), nichts zu ändern, dass Anordnungen, die das Eheschutzgericht vor Eintritt der Rechtshängigkeit des Scheidungsverfah- rens getroffen hat, während des Scheidungsverfahrens in Kraft bleiben, so- lange und sofern sie nicht durch vorsorgliche Massnahmen abgeändert wer- den. Diese Praxis besagt lediglich, dass eheschutzrechtliche Anordnungen mangels abweichender, vom Massnahmerichter erlassener Regelungen wäh- rend des Scheidungsverfahrens ihre Gültigkeit behalten; über die Fortdauer dieser Regelungen bei Eintritt der Mündigkeit eines unterhaltsberechtigten Kindes ist damit nichts gesagt. Ebenfalls keinen Einﬂuss auf das vorliegen- de Verfahren kann der Umstand haben, dass der Beschwerdegegner dem mündigen Sohn A._ für einen gewissen Zeitraum offenbar freiwillig einen Unterhaltsbeitrag bezahlt hat. 4.5.6. Mit dem Vorderrichter ist somit festzuhalten, dass der der Betreibung zugrunde gelegte Eheschutzentscheid nicht zum deﬁnitiven Rechtsöffnungstitel im Sinne von Art. 80 Abs. 1 SchKG taugt, sofern es der Beschwerdeführerin darum geht, Unterhaltsbeiträge für A._ für die Zeit nach Eintritt dessen Mündigkeit (konkret: Juli und August 2017) ein- zufordern. Der Vorderrichter hat das Gesuch um Beseitigung des Rechts- vorschlages bzw. Erteilung der deﬁnitiven Rechtsöffnung deshalb zu Recht abgewiesen, sodass auch die dagegen gerichtete Beschwerde abzuweisen ist. KSK 17 53 Entscheid vom 8. Januar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