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2017 18 vom 15. Januar 2014</w:t>
      </w:r>
    </w:p>
    <w:p>
      <w:r>
        <w:t>GR Gerichte, 2014-01-15, DE</w:t>
      </w:r>
    </w:p>
    <w:p>
      <w:r>
        <w:rPr>
          <w:b/>
        </w:rPr>
        <w:t xml:space="preserve">Quelle: </w:t>
      </w:r>
      <w:r>
        <w:t>https://mcp.opencaselaw.ch/entscheid/gr_gerichte_PKG_2017_18</w:t>
      </w:r>
    </w:p>
    <w:p>
      <w:r>
        <w:t>FR: GR_GERICHTE PKG 2017 18 du 15 janvier 2014</w:t>
      </w:r>
    </w:p>
    <w:p>
      <w:r>
        <w:t>IT: GR_GERICHTE PKG 2017 18 del 15 gennaio 2014</w:t>
      </w:r>
    </w:p>
    <w:p>
      <w:pPr>
        <w:pStyle w:val="Heading2"/>
      </w:pPr>
      <w:r>
        <w:t>Regeste</w:t>
      </w:r>
    </w:p>
    <w:p>
      <w:r>
        <w:t>Praxis Kantonsgericht |</w:t>
      </w:r>
    </w:p>
    <w:p>
      <w:r>
        <w:t>Regeste: siehe PKG-Dokument\x3Cbr\x3E | java.util.HashMap/1797211028</w:t>
      </w:r>
    </w:p>
    <w:p>
      <w:pPr>
        <w:pStyle w:val="Heading2"/>
      </w:pPr>
      <w:r>
        <w:t>Erwägungen</w:t>
      </w:r>
    </w:p>
    <w:p>
      <w:r>
        <w:rPr>
          <w:b/>
        </w:rPr>
        <w:t>E. 18</w:t>
      </w:r>
    </w:p>
    <w:p>
      <w:r>
        <w:t>PKG 2017 120 sie während der Lohnpfändungsdauer erwachsen (Georges Vonder Mühll, a.a.O., N 33 zu Art. 93 SchKG). 2.9. Somit ist zusammenfassend festzuhalten, dass die Lohnpfän- dung, insbesondere die Berechnung des Existenzminimums und der gep- fändeten Quote, mit zahlreichen Mängeln behaftet ist. Dies führt zur Auf- hebung der Pfändungsurkunde vom 27. Oktober 2017. Das Betreibungsamt Imboden hat die Pfändung im Sinne der vorangegangenen Erwägungen neu vorzunehmen. Der Antrag auf aufschiebende Wirkung der Beschwerde wird mit der Mitteilung des Sachentscheids hinfällig. KSK 17 66 Entscheid vom 29. November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