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2017 16 vom 3. Juni 2010</w:t>
      </w:r>
    </w:p>
    <w:p>
      <w:r>
        <w:t>GR Gerichte, 2010-06-03, DE</w:t>
      </w:r>
    </w:p>
    <w:p>
      <w:r>
        <w:rPr>
          <w:b/>
        </w:rPr>
        <w:t xml:space="preserve">Quelle: </w:t>
      </w:r>
      <w:r>
        <w:t>https://mcp.opencaselaw.ch/entscheid/gr_gerichte_PKG_2017_16</w:t>
      </w:r>
    </w:p>
    <w:p>
      <w:r>
        <w:t>FR: GR_GERICHTE PKG 2017 16 du 3 juin 2010</w:t>
      </w:r>
    </w:p>
    <w:p>
      <w:r>
        <w:t>IT: GR_GERICHTE PKG 2017 16 del 3 giugno 2010</w:t>
      </w:r>
    </w:p>
    <w:p>
      <w:pPr>
        <w:pStyle w:val="Heading2"/>
      </w:pPr>
      <w:r>
        <w:t>Regeste</w:t>
      </w:r>
    </w:p>
    <w:p>
      <w:r>
        <w:t>Praxis Kantonsgericht |</w:t>
      </w:r>
    </w:p>
    <w:p>
      <w:r>
        <w:t>Regeste: siehe PKG-Dokument\x3Cbr\x3E | java.util.HashMap/1797211028</w:t>
      </w:r>
    </w:p>
    <w:p>
      <w:pPr>
        <w:pStyle w:val="Heading2"/>
      </w:pPr>
      <w:r>
        <w:t>Erwägungen</w:t>
      </w:r>
    </w:p>
    <w:p>
      <w:r>
        <w:rPr>
          <w:b/>
        </w:rPr>
        <w:t>E. 16</w:t>
      </w:r>
    </w:p>
    <w:p>
      <w:r>
        <w:t>113 4.2.3. Die KESB hat somit gestützt auf Art. 306 Abs. 2 ZGB dem urteilsunfähigen Kind einen Vertretungsbeistand zu bestellen, der anstelle der Mutter die Interessen des Kindes vertritt. Diesem kommt zunächst die Aufgabe zu, zu prüfen, ob das beabsichtigte Namensänderungsgesuch über- haupt im Interesse des Kindes liegt. Der Entscheid ist zu dokumentieren und den Eltern mitzuteilen. Diese haben alsdann die Möglichkeit, gemäss Art. 419 ZGB an die KESB zu gelangen, welche diesfalls die Verfahrens- handlung des Vertretungsbeistandes zu überprüfen hätte (vgl. zum Ganzen Thomas Geiser, Das neue Namensrecht und die Kindes- und Erwachsenen- schutzbehörde, in: ZKE5/2012, Rz. 3.46). 4.2.4. Da in dieser Angelegenheit die eingesetzte Beiständin in Besuchsrechtsangelegenheiten, C._, als auch die Komposition der KESB Prättigau/Davos gemäss Entscheid vom 16. März 2017 nunmehr vorbefasst sind, empfiehlt es sich, eine unbefangene Beistandsperson einzusetzen und im Falle der Anfechtung deren Entscheides, ob eine Namensänderung zu beantragen ist, die KESB Prättigau/Davos in anderer Zusammensetzung entscheiden zu lassen (vgl. Art. 38 Abs. 2 EGzZGB). Erst wenn feststeht, dass die Namensänderung im Interesse des Kindes liegt – und voraussicht- lich achtenswerte Gründe dafür gegeben sind –, hat die Verfahrensbei- standsperson das entsprechende Gesuch beim AMZ einzureichen, welches sodann die Voraussetzungen gemäss Art. 30 Abs. 1 ZGB zu prüfen hat. 4.3. Zusammenfassend ist somit festzuhalten, dass sich der an- gefochtene Entscheid als rechtsfehlerhaft erweist und aufzuheben ist. Die KESB Prättigau/Davos ist überdies anzuweisen, für das allfällige Namen- sänderungsgesuch und das damit zusammenhängende Verfahren einen Bei- stand oder eine Beiständin gemäss Art. 306 Abs. 2 ZGB einzusetzen. ZK1 17 51 Entscheid vom 25. Juli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