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10 vom 26. Oktober 2017</w:t>
      </w:r>
    </w:p>
    <w:p>
      <w:r>
        <w:t>GR Gerichte, 2017-10-26, DE</w:t>
      </w:r>
    </w:p>
    <w:p>
      <w:r>
        <w:rPr>
          <w:b/>
        </w:rPr>
        <w:t xml:space="preserve">Quelle: </w:t>
      </w:r>
      <w:r>
        <w:t>https://mcp.opencaselaw.ch/entscheid/gr_gerichte_PKG_2017_10</w:t>
      </w:r>
    </w:p>
    <w:p>
      <w:r>
        <w:t>FR: GR_GERICHTE PKG 2017 10 du 26 octobre 2017</w:t>
      </w:r>
    </w:p>
    <w:p>
      <w:r>
        <w:t>IT: GR_GERICHTE PKG 2017 10 del 26 ottobre 2017</w:t>
      </w:r>
    </w:p>
    <w:p>
      <w:pPr>
        <w:pStyle w:val="Heading2"/>
      </w:pPr>
      <w:r>
        <w:t>Regeste</w:t>
      </w:r>
    </w:p>
    <w:p>
      <w:r>
        <w:t>Praxis Kantonsgericht |</w:t>
      </w:r>
    </w:p>
    <w:p>
      <w:r>
        <w:t>Regeste: siehe PKG-Dokument\x3Cbr\x3E | java.util.HashMap/1797211028</w:t>
      </w:r>
    </w:p>
    <w:p>
      <w:pPr>
        <w:pStyle w:val="Heading2"/>
      </w:pPr>
      <w:r>
        <w:t>Erwägungen</w:t>
      </w:r>
    </w:p>
    <w:p>
      <w:r>
        <w:rPr>
          <w:b/>
        </w:rPr>
        <w:t>E. 10</w:t>
      </w:r>
    </w:p>
    <w:p>
      <w:r>
        <w:t>PKG 2017 von einem Parteiwechsel aus (Urteil 4A_75/2015 vom 9. Juni 2015, E. 3.1.1; anders noch BGE 117 II 156 wo es den Vorschlag eines Ersatzmieters i.S.v. Art. 264 Abs. 1 OR als Angebot zu einem Aufhebungsvertrag sah). Der Wechsel kann mit einem gewöhnlichen Bestätigungsschreiben oder mittels Zusatzvereinbarung zwischen Vermieterin und neuer Mieterin in einem Anhang oder in einem Zusatz zum bisherigen Mietvertrag erfolgen. Es genügt, den Zeitpunkt des Wechsels festzuhalten und darauf hinzuweisen, dass der Mietvertrag zu den bisherigen Bedingungen fortgesetzt wird (Spi- rig, a.a.O., 758 Rz 28.2.17.1; Anna Kley, a.a.O., S. 269 f.). ZK2 16 64 Urteil vom 26. Oktober 2017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