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2016 27 vom 12. Januar 2016</w:t>
      </w:r>
    </w:p>
    <w:p>
      <w:r>
        <w:t>GR Gerichte, 2016-01-12, DE</w:t>
      </w:r>
    </w:p>
    <w:p>
      <w:r>
        <w:rPr>
          <w:b/>
        </w:rPr>
        <w:t xml:space="preserve">Quelle: </w:t>
      </w:r>
      <w:r>
        <w:t>https://mcp.opencaselaw.ch/entscheid/gr_gerichte_PKG_2016_27</w:t>
      </w:r>
    </w:p>
    <w:p>
      <w:r>
        <w:t>FR: GR_GERICHTE PKG 2016 27 du 12 janvier 2016</w:t>
      </w:r>
    </w:p>
    <w:p>
      <w:r>
        <w:t>IT: GR_GERICHTE PKG 2016 27 del 12 gennaio 2016</w:t>
      </w:r>
    </w:p>
    <w:p>
      <w:pPr>
        <w:pStyle w:val="Heading2"/>
      </w:pPr>
      <w:r>
        <w:t>Regeste</w:t>
      </w:r>
    </w:p>
    <w:p>
      <w:r>
        <w:t>Praxis Kantonsgericht |</w:t>
      </w:r>
    </w:p>
    <w:p>
      <w:r>
        <w:t>Regeste: siehe PKG-Dokument\x3Cbr\x3E | java.util.HashMap/1797211028</w:t>
      </w:r>
    </w:p>
    <w:p>
      <w:pPr>
        <w:pStyle w:val="Heading2"/>
      </w:pPr>
      <w:r>
        <w:t>Erwägungen</w:t>
      </w:r>
    </w:p>
    <w:p>
      <w:r>
        <w:rPr>
          <w:b/>
        </w:rPr>
        <w:t>E. 27</w:t>
      </w:r>
    </w:p>
    <w:p>
      <w:r>
        <w:t>PKG 2016 Gesichtspunkten auch nicht erforderlich. Eine Wiedererwägung bei einer durch die erlassende Behörde als fehlerhaft angesehenen Einstellungsver- fügung ist nach dem Ausgeführten somit ausgeschlossen (gl.A. Beschluss des Bundesstrafgerichts BB.2014.180 vom 6. März 2015, E. 3.2; Urteil des Kantonsgerichts Freiburg 502 2014 123 vom 4. September 2014, E. 2; Na- than Landshut/Thomas Bosshard, in: Donatsch/Hansjakob/Lieber, [Hrsg.], Kommentar zur Schweizerischen Strafprozessordnung [StPO], 2. Aufl., Zü- rich 2014, N 2 ff. zu Art. 323 StPO; in der Sache auch Hauser/Schweri/Hart- mann, § 45 Rz. 19; Schmid, Grundzüge, S. 222; ders., Handbuch, Rz. 1838 f.; a.A. Patrick Guidon, in: Niggli/Heer/Wiprächtiger [Hrsg.], Basler Kom- mentar, Schweizerische Strafprozessordnung, 2. Aufl., Basel 2014, N 2b zu Art. 397 StPO; Niklaus Oberholzer, Grundzüge des Strafprozessrechts, 3. Aufl., Bern 2012, Rz. 1607; Beschluss des Obergerichts Zürichs UE130103 vom 24. Januar 2014, E. 3.3). Werden den Strafverfolgungsbehörden den- noch Gründe für eine Wiedererwägung bzw. Wiederaufnahme während der Beschwerdefrist oder während des Beschwerdeverfahrens bekannt, so sind sie verpflichtet, diese den Beschwerdeinstanzen zu melden. Letztere haben solche Gründe gegebenenfalls zu berücksichtigen (Landshut/Boss- hard, a.a.O., N 4 zu Art. 323 StPO; ihnen folgend Beschluss des Oberge- richts Zürichs UE130103 vom 24. Januar 2014, E. 3.3). Im Übrigen können neue Tatsachen und Beweismittel auch von den Parteien geltend gemacht werden; im Beschwerdeverfahren gilt grundsätzlich keine Novenbeschrän- kung (vgl. Urteil des Bundesgerichts 1B_768/2012 vom 15. Januar 2013, E. 2.1 m.w.H.). Die Wiederaufnahme eines formell-rechtskräftig eingestell- ten Strafverfahrens ist demgegenüber nur unter den Voraussetzungen von Art. 323 StPO möglich (vgl. Beschluss des Bundesstrafgerichts BB.2014.180 vom 6. März 2015, E. 3.3). Im Bereich der Jugendstrafrechtspflege kann nichts anderes gelten. SK2 16 2 Beschluss vom 23. März 2016 194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