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25 vom 23. Januar 2006</w:t>
      </w:r>
    </w:p>
    <w:p>
      <w:r>
        <w:t>GR Gerichte, 2006-01-23, DE</w:t>
      </w:r>
    </w:p>
    <w:p>
      <w:r>
        <w:rPr>
          <w:b/>
        </w:rPr>
        <w:t xml:space="preserve">Quelle: </w:t>
      </w:r>
      <w:r>
        <w:t>https://mcp.opencaselaw.ch/entscheid/gr_gerichte_PKG_2016_25</w:t>
      </w:r>
    </w:p>
    <w:p>
      <w:r>
        <w:t>FR: GR_GERICHTE PKG 2016 25 du 23 janvier 2006</w:t>
      </w:r>
    </w:p>
    <w:p>
      <w:r>
        <w:t>IT: GR_GERICHTE PKG 2016 25 del 23 gennaio 2006</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PKG 2016 184 vorausgesetzt, zumal die gezielte Aufbereitung zahlreicher Dossiers im Hinblick auf eine interessenbedingt beschränkte Einsicht in Verfahren mit umfangreichem Aktenmaterial wie dem vorliegenden mit ziemlich hohem Administrativaufwand verbunden wäre (so auch Urteil des Bundesgerichts 1B_339/2013 vom 4. Februar 2014 E. 5). Solche gewichtigen Interessen sind nicht ersichtlich. Ferner kann sich X._ als Privatperson ohnehin nicht auf das Geschäftsgeheimnis berufen. Dass er – nebst dem Bankgeheimnis – sonstige private Geheimhaltungsinteressen aufweisen würde, bringen die Beschwerdeführer nicht vor. Indem die Staatsanwaltschaft die Personenak­ ten des Beschuldigten sowie die Jahresakten 2012 und 2013 der Y._GmbH im Original von der Akteneinsicht ausgenommen hat, hat sie den Interessen des Beschuldigten und jenen der Beschwerdeführer ausreichend Rechnung getragen. Eine weitergehende Einsichtsbeschränkung erscheint im Hinblick auf die im Zusammenhang mit Art. 108 Abs. 1 lit. b StPO vorgenommene Interessenabwägung nicht als gerechtfertigt. Dies steht mit der bisherigen bundesgerichtlichen Rechtsprechung im Einklang, welche die Tendenz zu einer eher offenen Handhabung des Einsichtsrechts aufweist (vgl. Urteil des Bundesgerichts 1B_339/2013 vom 4. Februar 2014 E. 5 insbes. mit Verweis auf BGE 138 IV 78 E. 3). f) Zusammenfassend kann festgehalten werden, dass sich das Mo­ tiv, die Akteneinsicht zu zivilprozessualen Zwecken zu nutzen und die im Strafverfahren erhobenen Beweise im Zivilprozess zu verwenden, nicht als rechtsmissbräuchlich erweist. Entsprechend lässt sich eine Einschränkung der Akteneinsicht entgegen der Auffassung der Beschwerdeführer nicht auf Art. 108 Abs. 1 lit. a StPO stützen. Die Interessenabwägung im Rahmen von Art. 108 Abs. 1 lit. b StPO hat ergeben, dass auch keine überwiegenden privaten Geheimhaltungsinteressen der Beschwerdeführer bestehen, wel­ che eine Beschränkung des Einsichtsrechts im beantragten Umfang recht­ fertigen würden. Demnach erweist sich die Beschwerde als unbegründet und ist folglich abzuweisen. SK2 14 33 Urteil vom 16. Februar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