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21 vom 22. Mai 2002</w:t>
      </w:r>
    </w:p>
    <w:p>
      <w:r>
        <w:t>GR Gerichte, 2002-05-22, DE</w:t>
      </w:r>
    </w:p>
    <w:p>
      <w:r>
        <w:rPr>
          <w:b/>
        </w:rPr>
        <w:t xml:space="preserve">Quelle: </w:t>
      </w:r>
      <w:r>
        <w:t>https://mcp.opencaselaw.ch/entscheid/gr_gerichte_PKG_2016_21</w:t>
      </w:r>
    </w:p>
    <w:p>
      <w:r>
        <w:t>FR: GR_GERICHTE PKG 2016 21 du 22 mai 2002</w:t>
      </w:r>
    </w:p>
    <w:p>
      <w:r>
        <w:t>IT: GR_GERICHTE PKG 2016 21 del 22 maggio 2002</w:t>
      </w:r>
    </w:p>
    <w:p>
      <w:pPr>
        <w:pStyle w:val="Heading2"/>
      </w:pPr>
      <w:r>
        <w:t>Regeste</w:t>
      </w:r>
    </w:p>
    <w:p>
      <w:r>
        <w:t>Praxis Kantonsgericht |</w:t>
      </w:r>
    </w:p>
    <w:p>
      <w:r>
        <w:t>Regeste: siehe PKG-Dokument\x3Cbr\x3E | java.util.HashMap/1797211028</w:t>
      </w:r>
    </w:p>
    <w:p>
      <w:pPr>
        <w:pStyle w:val="Heading2"/>
      </w:pPr>
      <w:r>
        <w:t>Erwägungen</w:t>
      </w:r>
    </w:p>
    <w:p>
      <w:r>
        <w:rPr>
          <w:b/>
        </w:rPr>
        <w:t>E. 21</w:t>
      </w:r>
    </w:p>
    <w:p>
      <w:r>
        <w:t>PKG 2016 160 philie sowie einer kombinierten Persönlichkeitsstörung die Fortsetzung der stationären Massnahme. Obwohl nur verlangsamt Therapiefortschritte erarbeitet werden könnten, sei der Explorand als generell massnahmefä- hig und ausgesprochen massnahmebedürftig zu bezeichnen. Gemäss Auf- fassung des AJV wie auch des DJSG trifft diese Einschätzung heute nicht mehr zu. Beide Behörden erachten die Fortführung der stationären Mass- nahme aufgrund des bisherigen Vollzugsverhaltens als aussichtslos. Sie ge- hen somit selbst davon aus, dass sich das Verhalten von X_ seit der letzten Begutachtung massgeblich verändert hat, weshalb nicht mehr auf das da- malige Gutachten abgestellt werden kann. Mit andern Worten besteht im vorliegenden Fall überhaupt kein Gutachten, das den Abbruch der bisher gutachterlich unterstützten Massnahme begründen könnte. Die Frage nach einem allfälligen Abbruch der Massnahme kann deshalb nur nach Durch- führung eines umfassenden Gutachtens und unter Beachtung der weiteren in Art. 62d Abs. 2 StGB statuierten Voraussetzungen beantwortet werden. Dabei ist selbstverständlich die aktuelle Situation des Exploranden mass- geblich, wobei die jüngsten Vorkommnisse, sofern sie im Hinblick auf die Erfolgsaussichten des Massnahmevollzugs relevant sein sollten, mit einzu- beziehen sind. SK1 14 53 Beschluss vom 21.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