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PKG 2016 20 vom 8. Mai 2014</w:t>
      </w:r>
    </w:p>
    <w:p>
      <w:r>
        <w:t>GR Gerichte, 2014-05-08, DE</w:t>
      </w:r>
    </w:p>
    <w:p>
      <w:r>
        <w:rPr>
          <w:b/>
        </w:rPr>
        <w:t xml:space="preserve">Quelle: </w:t>
      </w:r>
      <w:r>
        <w:t>https://mcp.opencaselaw.ch/entscheid/gr_gerichte_PKG_2016_20</w:t>
      </w:r>
    </w:p>
    <w:p>
      <w:r>
        <w:t>FR: GR_GERICHTE PKG 2016 20 du 8 mai 2014</w:t>
      </w:r>
    </w:p>
    <w:p>
      <w:r>
        <w:t>IT: GR_GERICHTE PKG 2016 20 del 8 maggio 2014</w:t>
      </w:r>
    </w:p>
    <w:p>
      <w:pPr>
        <w:pStyle w:val="Heading2"/>
      </w:pPr>
      <w:r>
        <w:t>Regeste</w:t>
      </w:r>
    </w:p>
    <w:p>
      <w:r>
        <w:t>Praxis Kantonsgericht |</w:t>
      </w:r>
    </w:p>
    <w:p>
      <w:r>
        <w:t>Regeste: siehe PKG-Dokument\x3Cbr\x3E | java.util.HashMap/1797211028</w:t>
      </w:r>
    </w:p>
    <w:p>
      <w:pPr>
        <w:pStyle w:val="Heading2"/>
      </w:pPr>
      <w:r>
        <w:t>Erwägungen</w:t>
      </w:r>
    </w:p>
    <w:p>
      <w:r>
        <w:rPr>
          <w:b/>
        </w:rPr>
        <w:t>E. 20</w:t>
      </w:r>
    </w:p>
    <w:p>
      <w:r>
        <w:t>PKG 2016 156 Hinweisen). Im vorliegenden Fall fehlt aber jeder Anhaltspunkt dafür, dass der Wille der Parteien dahingegangen sei, durch die Zahlungsvereinbarung vom 19./21. Dezember 2011 die ursprüngliche Schuld aus dem Vertrag mit der D._ erlöschen zu lassen und ein neues Schuldverhältnis zu begründen. Vielmehr wird in der Zahlungsvereinbarung vom 19./21. Dezember 2011 als Gegenstand der getroffenen Abrede ausdrücklich die Begleichung der ursprünglich offenen Forderung aus dem Vertrag mit der D._genannt, wo- bei gegenüber dem ursprünglichen Schuldverhältnis blosse Änderungen im Inhalt (Ratenzahlung) sowie in der Person des Gläubigers erfolgten. Die Zahlungsvereinbarung hatte daher keine Novationswirkung (vgl. Laurent Killias/Matthias Wiget, a.a.O., N 6 zu Art. 116; vgl. auch BGE 69 II 298, S. 302; 56 II 363, S. 369). Die Anwendbarkeit des KKG auf den vorliegenden Fall fällt daher bereits aus den dargelegten Gründen ausser Betracht. Bei dieser Rechtslage kann somit offen bleiben, ob die A._, mit welcher die Zahlungsvereinba- rung abgeschlossen wurde, wie von der Vorinstanz angenommen, als ge- werbsmässige Kreditgeberin im Sinne von Art. 2 KKG einzustufen ist. Ab- gesehen davon lässt sich eine solche gewerbsmässige Kreditvergabetätigkeit der A._, wie sie für die Anwendbarkeit des KKG gefordert ist, auch den Ak- ten nicht entnehmen. Im Ergebnis ist daher die Vorinstanz zu Unrecht von der Anwendbarkeit des KKG und der daraus abgeleiteten Nichtigkeit der Schuldanerkennung zufolge Nichteinhaltung zwingender Formvorschriften des KKG ausgegangen. KSK 16 28 Entscheid vom 7. Oktober 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