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2016 13 vom 9. Juni 2011</w:t>
      </w:r>
    </w:p>
    <w:p>
      <w:r>
        <w:t>GR Gerichte, 2011-06-09, DE</w:t>
      </w:r>
    </w:p>
    <w:p>
      <w:r>
        <w:rPr>
          <w:b/>
        </w:rPr>
        <w:t xml:space="preserve">Quelle: </w:t>
      </w:r>
      <w:r>
        <w:t>https://mcp.opencaselaw.ch/entscheid/gr_gerichte_PKG_2016_13</w:t>
      </w:r>
    </w:p>
    <w:p>
      <w:r>
        <w:t>FR: GR_GERICHTE PKG 2016 13 du 9 juin 2011</w:t>
      </w:r>
    </w:p>
    <w:p>
      <w:r>
        <w:t>IT: GR_GERICHTE PKG 2016 13 del 9 giugno 2011</w:t>
      </w:r>
    </w:p>
    <w:p>
      <w:pPr>
        <w:pStyle w:val="Heading2"/>
      </w:pPr>
      <w:r>
        <w:t>Regeste</w:t>
      </w:r>
    </w:p>
    <w:p>
      <w:r>
        <w:t>Praxis Kantonsgericht |</w:t>
      </w:r>
    </w:p>
    <w:p>
      <w:r>
        <w:t>Regeste: siehe PKG-Dokument\x3Cbr\x3E | java.util.HashMap/1797211028</w:t>
      </w:r>
    </w:p>
    <w:p>
      <w:pPr>
        <w:pStyle w:val="Heading2"/>
      </w:pPr>
      <w:r>
        <w:t>Erwägungen</w:t>
      </w:r>
    </w:p>
    <w:p>
      <w:r>
        <w:rPr>
          <w:b/>
        </w:rPr>
        <w:t>E. 13</w:t>
      </w:r>
    </w:p>
    <w:p>
      <w:r>
        <w:t>111 fern fehlt es auch diesbezüglich an einer sofortigen Verfügbarkeit der Mit- tel. Folglich wäre das Verfahren um unentgeltliche Rechtspflege entweder bis zum Abschluss des Prozesskostenvorschussverfahrens zu sistieren oder der Beschwerdeführerin einstweilen die unentgeltliche Rechtspflege unter der Auflage einer gerichtlichen Durchsetzung des Anspruchs und mit dem Vorbehalt eines rückwirkenden Entzugs im Falle des Obsiegens zu erteilen (vgl. vorstehend E. 3b). h) Zusammenfassend kann festgehalten werden, dass der ange- fochtene Entscheid in Gutheissung der Beschwerde aufzuheben und die Angelegenheit – entsprechend der grundsätzlich kassatorischen Natur des Beschwerdeentscheids – gestützt auf Art. 327 Abs. 3 lit. a ZPO im Sinne der vorangehenden Erwägungen zur neuen Beurteilung an die Vorinstanz zurückzuweisen ist. ZK1 16 47 Urteil vom 10. Mai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