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2015 22</w:t>
      </w:r>
    </w:p>
    <w:p>
      <w:r>
        <w:t>GR Gerichte, DE</w:t>
      </w:r>
    </w:p>
    <w:p>
      <w:r>
        <w:rPr>
          <w:b/>
        </w:rPr>
        <w:t xml:space="preserve">Quelle: </w:t>
      </w:r>
      <w:r>
        <w:t>https://mcp.opencaselaw.ch/entscheid/gr_gerichte_PKG_2015_22</w:t>
      </w:r>
    </w:p>
    <w:p>
      <w:pPr>
        <w:pStyle w:val="Heading2"/>
      </w:pPr>
      <w:r>
        <w:t>Regeste</w:t>
      </w:r>
    </w:p>
    <w:p>
      <w:r>
        <w:t>Praxis Kantonsgericht |</w:t>
      </w:r>
    </w:p>
    <w:p>
      <w:r>
        <w:t>Regeste: siehe PKG-Dokument\x3Cbr\x3E | java.util.HashMap/1797211028</w:t>
      </w:r>
    </w:p>
    <w:p>
      <w:pPr>
        <w:pStyle w:val="Heading2"/>
      </w:pPr>
      <w:r>
        <w:t>Erwägungen</w:t>
      </w:r>
    </w:p>
    <w:p>
      <w:r>
        <w:rPr>
          <w:b/>
        </w:rPr>
        <w:t>E. 22</w:t>
      </w:r>
    </w:p>
    <w:p>
      <w:r>
        <w:t>PKG 2015 150 schaftswesen Urteil des I. Zivilkammer ZK1 11 19 vom 16. Mai 2011 E. 4b). Sollte entgegen der bisherigen Überlegungen davon auszugehen sein, dass Art. 315 Abs. 1 ZPO im verwaltungsrechtlichen Berufungsverfahren man- gels einer gegenteiligen Regelung im kantonalen Recht Anwendung findet, wäre der Besonderheit eines zweistufigen Rechtsmittelweges schliesslich dadurch Rechnung zu tragen, dass die aufschiebende Wirkung der Berufung auf das unmittelbare Anfechtungsobjekt, d.h. den erstinstanzlichen Be- schwerdeentscheid, beschränkt bleiben müsste. Mit der Berufung bliebe damit von Gesetzes wegen derjenige Zustand erhalten wie er während des erstinstanzlichen Beschwerdeverfahrens gegolten hat, so dass es auch in die- sem Fall einer besonderen Anordnung der Berufungsinstanz bedürfte, um die Vollstreckbarkeit der aufsichtsrechtlichen Massnahmen vorläufig auszu- setzen. Eine derartige Anordnung wurde im vorliegenden Verfahren nicht beantragt, weshalb auf deren Voraussetzungen nicht mehr eingegangen wer- den muss. ZK1 14 39 Entscheid vom 19. Juni 2015 (Mit Urteil 5A_676 / 2015 vom 5. Januar 2016 hat das Bundesgericht die gegen diesen Entscheid erhobene Beschwerde abgewiesen, soweit darauf einzutreten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