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PKG 2015 15 vom 20. März 2015</w:t>
      </w:r>
    </w:p>
    <w:p>
      <w:r>
        <w:t>GR Gerichte, 2015-03-20, DE</w:t>
      </w:r>
    </w:p>
    <w:p>
      <w:r>
        <w:rPr>
          <w:b/>
        </w:rPr>
        <w:t xml:space="preserve">Quelle: </w:t>
      </w:r>
      <w:r>
        <w:t>https://mcp.opencaselaw.ch/entscheid/gr_gerichte_PKG_2015_15</w:t>
      </w:r>
    </w:p>
    <w:p>
      <w:r>
        <w:t>FR: GR_GERICHTE PKG 2015 15 du 20 mars 2015</w:t>
      </w:r>
    </w:p>
    <w:p>
      <w:r>
        <w:t>IT: GR_GERICHTE PKG 2015 15 del 20 marzo 2015</w:t>
      </w:r>
    </w:p>
    <w:p>
      <w:pPr>
        <w:pStyle w:val="Heading2"/>
      </w:pPr>
      <w:r>
        <w:t>Regeste</w:t>
      </w:r>
    </w:p>
    <w:p>
      <w:r>
        <w:t>Praxis Kantonsgericht |</w:t>
      </w:r>
    </w:p>
    <w:p>
      <w:r>
        <w:t>Regeste: siehe PKG-Dokument\x3Cbr\x3E | java.util.HashMap/1797211028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99 nachlässigbaren Wert hat. Nicht etwa verheimlicht haben die Beschwerde- führer die möglicherweise noch werthaltigen elektronischen Geräte (Mobil- telefone und zwei Tablets) sowie das aufgefundene Bargeld. Vielmehr haben die Erben diese Objekte, welche für eine konkursamtliche Liquidation zur Verfügung stehen, aufgelistet. Unbestritten ist auch, dass die beiden wegge- brachten Fahrzeuge nicht im Eigentum des Erblassers standen. Schliesslich haben die Erben aus Pietätsgründen sogar die ausstehenden Mietzinsen aus ihrem Vermögen bezahlt, was nach dem Gesagten ebenfalls nicht als Einmi- schung in die Erbschaft ausgelegt werden kann. Unter den vorliegenden Umständen durfte die Vorinstanz namentlich bei der gegebenen einge- schränkten Kognition nicht zum Schluss gelangen, die Beschwerdeführer hätten sich unter Verwirkung ihres Ausschlagungsrechts in die Erbschaft eingemischt. Der Widerruf der Anordnung der konkursamtlichen Liquida- tion erweist sich somit als rechtswidrig, was zur Gutheissung des Haupt- begehrens der Beschwerde und zur Aufhebung des angefochtenen Ent- scheids führt. KSK 15 21 Entscheid vom 5. Mai 2015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