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GR_GERICHTE PKG 2014 5 vom 2. Juli 2012</w:t>
      </w:r>
    </w:p>
    <w:p>
      <w:r>
        <w:t>GR Gerichte, 2012-07-02, DE</w:t>
      </w:r>
    </w:p>
    <w:p>
      <w:r>
        <w:rPr>
          <w:b/>
        </w:rPr>
        <w:t xml:space="preserve">Quelle: </w:t>
      </w:r>
      <w:r>
        <w:t>https://mcp.opencaselaw.ch/entscheid/gr_gerichte_PKG_2014_5</w:t>
      </w:r>
    </w:p>
    <w:p>
      <w:r>
        <w:t>FR: GR_GERICHTE PKG 2014 5 du 2 juillet 2012</w:t>
      </w:r>
    </w:p>
    <w:p>
      <w:r>
        <w:t>IT: GR_GERICHTE PKG 2014 5 del 2 luglio 2012</w:t>
      </w:r>
    </w:p>
    <w:p>
      <w:pPr>
        <w:pStyle w:val="Heading2"/>
      </w:pPr>
      <w:r>
        <w:t>Regeste</w:t>
      </w:r>
    </w:p>
    <w:p>
      <w:r>
        <w:t>Praxis Kantonsgericht |</w:t>
      </w:r>
    </w:p>
    <w:p>
      <w:r>
        <w:t>Regeste: siehe PKG-Dokument\x3Cbr\x3E | java.util.HashMap/1797211028</w:t>
      </w:r>
    </w:p>
    <w:p>
      <w:pPr>
        <w:pStyle w:val="Heading2"/>
      </w:pPr>
      <w:r>
        <w:t>Erwägungen</w:t>
      </w:r>
    </w:p>
    <w:p>
      <w:r>
        <w:rPr>
          <w:b/>
        </w:rPr>
        <w:t>E. 5</w:t>
      </w:r>
    </w:p>
    <w:p>
      <w:r>
        <w:t>35 klägers um vorsorgliche Anordnung des vereinbarten Besuchsrechts einzig unter den Gesichtspunkten von Art. 261 ZPO geprüft. Aus der anlässlich der Einigungsverhandlung getroffenen Vereinbarung – deren gerichtliche Ge- nehmigung im damaligen Zeitpunkt noch ausstehend war − hat er auf das Bestehen eines Anspruchs geschlossen, welcher − angesichts der möglichen Entfremdung der Töchter von ihrem Vater, welche er als drohenden, nicht leicht wiedergutzumachenden Nachteil betrachtete − eines vorsorglichen Rechtsschutzes bedürfe. Demgegenüber qualifizierte er die von der Beru- fungsklägerin geltend gemachte Verletzung des Kindeswohls im Falle der Aufrechterhaltung der provisorisch angeordneten Besuchsrechtsregelung als nicht glaubhaft gemacht und sprach der gemeinsam unterzeichneten Ver- einbarung vom 4. Juli 2013 weiterhin Gültigkeit zu. Mit dieser Argumenta- tion hat der Vorderrichter verkannt, dass für vorsorgliche Massnahmen im Scheidungsverfahren, wie vorstehend ausgeführt, Sonderregelungen beste- hen, welche hinsichtlich der Kinderbelange unter anderem eine Mitwirkung der Kinder vorsehen. Ebenfalls verkannt hat er die Bedeutung der von den Parteien geschlossenen Vereinbarung, welche bis zur richterlichen Geneh- migung keine Gültigkeit entfaltet und vor ihrer Anordnung für die Dauer des Scheidungsverfahrens von Amtes wegen auf ihre Vereinbarkeit mit den Kindesinteressen hätte überprüft werden müssen. Eine solche Überprüfung drängte sich vorliegend umso mehr auf, als die Berufungsklägerin explizit die (vorläufige) Nichtgenehmigung beantragt hatte. Entgegen der Auffas- sung des Vorderrichters kann die Zulässigkeit eines derartigen Antrags näm- lich nicht vom Vorliegen einer Gefährdungsmeldung bei der Kindes- und Erwachsenenschutzbehörde (KESB) abhängig gemacht werden (vgl. ange- fochtener Entscheid, S. 11 f.). Letztere wäre zwar wohl zuständig, in einer akuten Gefährdungssituation ein gerichtlich festgelegtes Besuchsrecht aus- zusetzen (vgl. Art. 315a Abs. 3 Ziff. 2 ZGB). Die erstmalige Regelung oder auch die Konkretisierung eines bestehenden Besuchsrechts wie auch der Erlass der damit zusammenhängenden Kindesschutzmassnahmen fallen bei einem hängigen Scheidungsverfahren dagegen in die Zuständigkeit des Gerichts (Art. 275 Abs. 2 und Art. 315a Abs. 1 ZGB). Dieses hat einer Vereinbarung nicht bloss bei einer akuten Gefährdungslage die Genehmi- gung zu versagen, sondern generell für eine den Kindesinteressen gerecht werdende Regelung zu sorgen. ZK1 14 53 Urteil vom 19. Juni 2014</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