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21 vom 11. Juni 2014</w:t>
      </w:r>
    </w:p>
    <w:p>
      <w:r>
        <w:t>GR Gerichte, 2014-06-11, DE</w:t>
      </w:r>
    </w:p>
    <w:p>
      <w:r>
        <w:rPr>
          <w:b/>
        </w:rPr>
        <w:t xml:space="preserve">Quelle: </w:t>
      </w:r>
      <w:r>
        <w:t>https://mcp.opencaselaw.ch/entscheid/gr_gerichte_PKG_2014_21</w:t>
      </w:r>
    </w:p>
    <w:p>
      <w:r>
        <w:t>FR: GR_GERICHTE PKG 2014 21 du 11 juin 2014</w:t>
      </w:r>
    </w:p>
    <w:p>
      <w:r>
        <w:t>IT: GR_GERICHTE PKG 2014 21 del 11 giugno 2014</w:t>
      </w:r>
    </w:p>
    <w:p>
      <w:pPr>
        <w:pStyle w:val="Heading2"/>
      </w:pPr>
      <w:r>
        <w:t>Regeste</w:t>
      </w:r>
    </w:p>
    <w:p>
      <w:r>
        <w:t>Praxis Kantonsgericht |</w:t>
      </w:r>
    </w:p>
    <w:p>
      <w:r>
        <w:t>Regeste: siehe PKG-Dokument\x3Cbr\x3E | java.util.HashMap/1797211028</w:t>
      </w:r>
    </w:p>
    <w:p>
      <w:pPr>
        <w:pStyle w:val="Heading2"/>
      </w:pPr>
      <w:r>
        <w:t>Erwägungen</w:t>
      </w:r>
    </w:p>
    <w:p>
      <w:r>
        <w:rPr>
          <w:b/>
        </w:rPr>
        <w:t>E. 21</w:t>
      </w:r>
    </w:p>
    <w:p>
      <w:r>
        <w:t>PKG 2014 sondere nicht nachvollziehbar, weshalb die Vorinstanz für die Abweisung des am 17. Februar 2010 gestellten Beweisantrages mehr als dreieinhalb Jahre brauchte, zumal sie in dieser Zeit keine weiteren Verfahrenshandlun- gen anordnete und das Verfahren gar nicht betrieben wurde. Verzögerungen aufgrund allfälliger personeller Ressourcen entschuldigen die lange Verfah- rensdauer grundsätzlich nicht. Die Gesamtdauer von der Anklage bis zum vorinstanzlichen Urteil von vier Jahren ist damit als unverhältnismässig zu qualifizieren, womit das Beschleunigungsgebot gemäss Art. 5 Abs. 1 StPO verletzt wurde. Anzumerken bleibt, dass eine Intervention der Staatsanwalt- schaft bei der Vorinstanz hätte hilfreich sein können. Die Verletzung von Art. 5 Abs. 1 StPO wiegt vorliegend nun aber nicht derart schwer, dass diese eine Verfahrenseinstellung rechtfertigen würde, zumal eine solche auch die Ausnahme bilden soll. Der Berufungskläger war während der ganzen Ver- fahrensdauer im Besitz seines Führerausweises und damit fahrberechtigt. Es ist nicht ersichtlich, dass X._ durch die Verfahrensverzögerung sehr schwer getroffen worden wäre. Nichtsdestotrotz gilt es der Verletzung des Beschleu- nigungsgebotes für den Fall Rechnung zu tragen, dass X._ verurteilt würde. In diesem Fall wäre eine Reduktion des Strafmasses vorzunehmen. SK1 14 8 Urteil vom 11. Juni 2014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