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2014 20 vom 10. Juli 2014</w:t>
      </w:r>
    </w:p>
    <w:p>
      <w:r>
        <w:t>GR Gerichte, 2014-07-10, DE</w:t>
      </w:r>
    </w:p>
    <w:p>
      <w:r>
        <w:rPr>
          <w:b/>
        </w:rPr>
        <w:t xml:space="preserve">Quelle: </w:t>
      </w:r>
      <w:r>
        <w:t>https://mcp.opencaselaw.ch/entscheid/gr_gerichte_PKG_2014_20</w:t>
      </w:r>
    </w:p>
    <w:p>
      <w:r>
        <w:t>FR: GR_GERICHTE PKG 2014 20 du 10 juillet 2014</w:t>
      </w:r>
    </w:p>
    <w:p>
      <w:r>
        <w:t>IT: GR_GERICHTE PKG 2014 20 del 10 luglio 2014</w:t>
      </w:r>
    </w:p>
    <w:p>
      <w:pPr>
        <w:pStyle w:val="Heading2"/>
      </w:pPr>
      <w:r>
        <w:t>Regeste</w:t>
      </w:r>
    </w:p>
    <w:p>
      <w:r>
        <w:t>Praxis Kantonsgericht |</w:t>
      </w:r>
    </w:p>
    <w:p>
      <w:r>
        <w:t>Regeste: siehe PKG-Dokument\x3Cbr\x3E | java.util.HashMap/1797211028</w:t>
      </w:r>
    </w:p>
    <w:p>
      <w:pPr>
        <w:pStyle w:val="Heading2"/>
      </w:pPr>
      <w:r>
        <w:t>Erwägungen</w:t>
      </w:r>
    </w:p>
    <w:p>
      <w:r>
        <w:rPr>
          <w:b/>
        </w:rPr>
        <w:t>E. 20</w:t>
      </w:r>
    </w:p>
    <w:p>
      <w:r>
        <w:t>139 gene Rechtsvertreter hätte sich auch die Beschwerdeführerin selber mit ei- ner äusserst knapp begründeten Standardeingabe begnügen können. Es darf daher von einem sehr geringen Zeitaufwand ausgegangen werden. Unter Berücksichtigung der notwendigen Auslagen für Kopien und Porti rechtfer- tigt sich ermessensweise die Zusprechung einer Parteientschädigung von CHF 80.–. In diesem Sinne ist die Beschwerde teilweise gutzuheissen und der angefochtene Entscheid entsprechend zu ergänzen. KSK 14 61 Entscheid vom 30. September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