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2013 20 vom 27. August 2009</w:t>
      </w:r>
    </w:p>
    <w:p>
      <w:r>
        <w:t>GR Gerichte, 2009-08-27, DE</w:t>
      </w:r>
    </w:p>
    <w:p>
      <w:r>
        <w:rPr>
          <w:b/>
        </w:rPr>
        <w:t xml:space="preserve">Quelle: </w:t>
      </w:r>
      <w:r>
        <w:t>https://mcp.opencaselaw.ch/entscheid/gr_gerichte_PKG_2013_20</w:t>
      </w:r>
    </w:p>
    <w:p>
      <w:r>
        <w:t>FR: GR_GERICHTE PKG 2013 20 du 27 août 2009</w:t>
      </w:r>
    </w:p>
    <w:p>
      <w:r>
        <w:t>IT: GR_GERICHTE PKG 2013 20 del 27 agosto 2009</w:t>
      </w:r>
    </w:p>
    <w:p>
      <w:pPr>
        <w:pStyle w:val="Heading2"/>
      </w:pPr>
      <w:r>
        <w:t>Regeste</w:t>
      </w:r>
    </w:p>
    <w:p>
      <w:r>
        <w:t>Praxis Kantonsgericht |</w:t>
      </w:r>
    </w:p>
    <w:p>
      <w:r>
        <w:t>Regeste: siehe PKG-Dokument\x3Cbr\x3E | java.util.HashMap/1797211028</w:t>
      </w:r>
    </w:p>
    <w:p>
      <w:pPr>
        <w:pStyle w:val="Heading2"/>
      </w:pPr>
      <w:r>
        <w:t>Erwägungen</w:t>
      </w:r>
    </w:p>
    <w:p>
      <w:r>
        <w:rPr>
          <w:b/>
        </w:rPr>
        <w:t>E. 20</w:t>
      </w:r>
    </w:p>
    <w:p>
      <w:r>
        <w:t>126 PKG 2013 gung eines unentgeltlichen Rechtsbeistands nicht. Der Beschwerdeführer ist weder minderjährig noch sprachunkundig, noch macht er geltend, er sei krank oder psychisch angeschlagen. Er verfügt über eine gute Ausbildung. Was das behauptete instabile soziale und familiäre Umfeld sowie die angeb- lich unausgereifte Persönlichkeit anbelangt, so finden sich hierfür in den Akten keinerlei Anhaltspunkte. Auch diese Umstände – sofern sie denn zu- treffen sollten – würden im vorliegenden Verfahren keinen Beizug eines Rechtsbeistands rechtfertigen. Dies gilt umso mehr, als es sich entgegen den Behauptungen des Beschwerdeführers keineswegs um ein besonders kom- plexes und aufwendiges Strafverfahren handelt (vgl. dazu nachfolgende E. 4c/dd). Dem bei den Akten liegenden Protokoll über die Einvernahme des Beschwerdeführers (vgl. Akten Staatsanwaltschaft, act. 3.9) ergeht, dass dieser durchaus in der Lage ist, sich im vorliegenden Verfahren ohne Weite- res zurechtzufinden. Aus der Schilderung des ganzen Tathergangs erscheint dieser als durchaus vernünftiger junger Mann, der entgegen den Darstellun- gen seines Anwalts durchaus in der Lage ist, sich in einem Verfahren wie dem vorliegenden selbst zu vertreten. Es gibt vorliegend schlicht keine An- haltspunkte dafür, weshalb der Beschwerdeführer nicht wie ein durch- schnittlich intelligenter Bürger in der Lage sein sollte, seine Interessen als Geschädigter im Strafverfahren selbst wahrzunehmen. c/dd) Auch in verfahrensrechtlicher Hinsicht sind entgegen der An- sicht des Beschwerdeführers keine besonderen Schwierigkeiten erkennbar, die nicht zwangsläufig mit jedem Verfahren verbunden wären. Die Tat ist ausreichend geklärt. Der Täter ist geständig. Weitere Beweiserhebungen sind nicht vorgesehen. Die Folgen der Tat sind klar und belegt. Schadener- satz und Genugtuung ohne Weiteres quantifizierbar. Nach Angaben des zu- ständigen Staatsanwalts wird das Verfahren voraussichtlich mittels Strafbe- fehl erledigt (vgl. Akten Kantonsgericht, act. A.2). Zu berücksichtigen ist dabei auch, dass bereits durch die Opferhilfe eine rechtliche Beratung von fünf Stunden gewährt wurde (vgl. Akten Kantonsgericht, act. B 5). Dies genügt in jedem Fall, um sich in einem Fall wie dem vorliegenden ausrei- chend beraten zu lassen. d) Zusammenfassend ergibt sich, dass die Vorinstanz die Notwen- digkeit der Bestellung eines unentgeltlichen Rechtsbeistands zu Recht ver- neinte. Somit ist die Beschwerde abzuweisen. SK2 13 15 Beschluss vom 17. April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